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323" w:firstLineChars="101"/>
        <w:rPr>
          <w:rFonts w:ascii="黑体" w:hAnsi="Times New Roman" w:eastAsia="黑体" w:cs="Times New Roman"/>
          <w:b/>
          <w:bCs/>
          <w:spacing w:val="-20"/>
          <w:sz w:val="32"/>
          <w:szCs w:val="32"/>
        </w:rPr>
      </w:pPr>
      <w:r>
        <w:rPr>
          <w:rFonts w:hint="eastAsia" w:ascii="黑体" w:hAnsi="Times New Roman" w:eastAsia="黑体" w:cs="Times New Roman"/>
          <w:sz w:val="32"/>
          <w:szCs w:val="32"/>
        </w:rPr>
        <w:t xml:space="preserve">附件2  </w:t>
      </w: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284" w:firstLineChars="101"/>
        <w:jc w:val="center"/>
        <w:rPr>
          <w:rFonts w:ascii="Times New Roman" w:hAnsi="Times New Roman" w:eastAsia="隶书" w:cs="Times New Roman"/>
          <w:b/>
          <w:bCs/>
          <w:spacing w:val="-20"/>
          <w:sz w:val="32"/>
          <w:szCs w:val="24"/>
        </w:rPr>
      </w:pPr>
    </w:p>
    <w:p>
      <w:pPr>
        <w:ind w:left="-359" w:leftChars="-171" w:firstLine="484" w:firstLineChars="101"/>
        <w:jc w:val="center"/>
        <w:rPr>
          <w:rFonts w:ascii="黑体" w:hAnsi="黑体" w:eastAsia="黑体" w:cs="Times New Roman"/>
          <w:bCs/>
          <w:spacing w:val="-20"/>
          <w:sz w:val="52"/>
          <w:szCs w:val="52"/>
        </w:rPr>
      </w:pPr>
      <w:r>
        <w:rPr>
          <w:rFonts w:hint="eastAsia" w:ascii="黑体" w:hAnsi="黑体" w:eastAsia="黑体" w:cs="Times New Roman"/>
          <w:bCs/>
          <w:spacing w:val="-20"/>
          <w:sz w:val="52"/>
          <w:szCs w:val="52"/>
        </w:rPr>
        <w:t>国家级一流本科专业建设点</w:t>
      </w:r>
    </w:p>
    <w:p>
      <w:pPr>
        <w:ind w:left="-359" w:leftChars="-171" w:firstLine="525" w:firstLineChars="101"/>
        <w:jc w:val="center"/>
        <w:rPr>
          <w:rFonts w:ascii="黑体" w:hAnsi="黑体" w:eastAsia="黑体" w:cs="Times New Roman"/>
          <w:bCs/>
          <w:sz w:val="52"/>
          <w:szCs w:val="52"/>
        </w:rPr>
      </w:pPr>
      <w:r>
        <w:rPr>
          <w:rFonts w:hint="eastAsia" w:ascii="黑体" w:hAnsi="黑体" w:eastAsia="黑体" w:cs="Times New Roman"/>
          <w:bCs/>
          <w:sz w:val="52"/>
          <w:szCs w:val="52"/>
        </w:rPr>
        <w:t>信息采集表</w:t>
      </w: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rPr>
          <w:rFonts w:ascii="Times New Roman" w:hAnsi="Times New Roman" w:eastAsia="宋体" w:cs="Times New Roman"/>
          <w:sz w:val="32"/>
          <w:szCs w:val="32"/>
        </w:rPr>
      </w:pPr>
    </w:p>
    <w:p>
      <w:pPr>
        <w:ind w:firstLine="1440" w:firstLineChars="400"/>
        <w:rPr>
          <w:rFonts w:ascii="Times New Roman" w:hAnsi="Times New Roman" w:eastAsia="宋体" w:cs="Times New Roman"/>
          <w:szCs w:val="24"/>
        </w:rPr>
      </w:pPr>
      <w:r>
        <w:rPr>
          <w:rFonts w:hint="eastAsia" w:ascii="Arial" w:hAnsi="Arial" w:eastAsia="楷体_GB2312" w:cs="Times New Roman"/>
          <w:sz w:val="36"/>
          <w:szCs w:val="24"/>
        </w:rPr>
        <w:t>高校名称：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r>
        <w:rPr>
          <w:rFonts w:hint="eastAsia" w:ascii="Arial" w:hAnsi="Arial" w:eastAsia="楷体_GB2312" w:cs="Times New Roman"/>
          <w:sz w:val="36"/>
          <w:szCs w:val="24"/>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主管部门：</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专业名称：</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专业代码：</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39" w:firstLineChars="371"/>
        <w:rPr>
          <w:rFonts w:ascii="Arial" w:hAnsi="Arial" w:eastAsia="楷体_GB2312" w:cs="Times New Roman"/>
          <w:spacing w:val="14"/>
          <w:sz w:val="36"/>
          <w:szCs w:val="24"/>
          <w:u w:val="single"/>
        </w:rPr>
      </w:pPr>
      <w:r>
        <w:rPr>
          <w:rFonts w:hint="eastAsia" w:ascii="Arial" w:hAnsi="Arial" w:eastAsia="楷体_GB2312" w:cs="Times New Roman"/>
          <w:spacing w:val="14"/>
          <w:sz w:val="36"/>
          <w:szCs w:val="24"/>
        </w:rPr>
        <w:t>专业类：</w:t>
      </w:r>
      <w:r>
        <w:rPr>
          <w:rFonts w:hint="eastAsia" w:ascii="Arial" w:hAnsi="Arial" w:eastAsia="楷体_GB2312" w:cs="Times New Roman"/>
          <w:spacing w:val="14"/>
          <w:sz w:val="36"/>
          <w:szCs w:val="24"/>
          <w:u w:val="single"/>
        </w:rPr>
        <w:t xml:space="preserve"> </w:t>
      </w:r>
      <w:r>
        <w:rPr>
          <w:rFonts w:ascii="Arial" w:hAnsi="Arial" w:eastAsia="楷体_GB2312" w:cs="Times New Roman"/>
          <w:spacing w:val="14"/>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专业负责人：</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440" w:firstLineChars="400"/>
        <w:rPr>
          <w:rFonts w:ascii="Arial" w:hAnsi="Arial" w:eastAsia="楷体_GB2312" w:cs="Times New Roman"/>
          <w:sz w:val="36"/>
          <w:szCs w:val="24"/>
          <w:u w:val="single"/>
        </w:rPr>
      </w:pPr>
      <w:r>
        <w:rPr>
          <w:rFonts w:hint="eastAsia" w:ascii="Arial" w:hAnsi="Arial" w:eastAsia="楷体_GB2312" w:cs="Times New Roman"/>
          <w:sz w:val="36"/>
          <w:szCs w:val="24"/>
        </w:rPr>
        <w:t>联系电话：</w:t>
      </w:r>
      <w:r>
        <w:rPr>
          <w:rFonts w:hint="eastAsia" w:ascii="Arial" w:hAnsi="Arial" w:eastAsia="楷体_GB2312" w:cs="Times New Roman"/>
          <w:sz w:val="36"/>
          <w:szCs w:val="24"/>
          <w:u w:val="single"/>
        </w:rPr>
        <w:t xml:space="preserve"> </w:t>
      </w:r>
      <w:r>
        <w:rPr>
          <w:rFonts w:ascii="Arial" w:hAnsi="Arial" w:eastAsia="楷体_GB2312" w:cs="Times New Roman"/>
          <w:sz w:val="36"/>
          <w:szCs w:val="24"/>
          <w:u w:val="single"/>
        </w:rPr>
        <w:t xml:space="preserve">                          </w:t>
      </w:r>
    </w:p>
    <w:p>
      <w:pPr>
        <w:spacing w:line="720" w:lineRule="exact"/>
        <w:ind w:firstLine="1760" w:firstLineChars="400"/>
        <w:rPr>
          <w:rFonts w:ascii="Arial" w:hAnsi="Arial" w:eastAsia="楷体_GB2312" w:cs="Times New Roman"/>
          <w:sz w:val="44"/>
          <w:szCs w:val="24"/>
        </w:rPr>
      </w:pPr>
    </w:p>
    <w:p>
      <w:pPr>
        <w:rPr>
          <w:rFonts w:ascii="Times New Roman" w:hAnsi="Times New Roman" w:eastAsia="宋体" w:cs="Times New Roman"/>
          <w:szCs w:val="24"/>
        </w:rPr>
      </w:pPr>
    </w:p>
    <w:p>
      <w:pPr>
        <w:jc w:val="center"/>
        <w:rPr>
          <w:rFonts w:ascii="Arial" w:hAnsi="Arial" w:eastAsia="楷体_GB2312" w:cs="Times New Roman"/>
          <w:sz w:val="36"/>
          <w:szCs w:val="24"/>
        </w:rPr>
      </w:pPr>
      <w:r>
        <w:rPr>
          <w:rFonts w:hint="eastAsia" w:ascii="Arial" w:hAnsi="Arial" w:eastAsia="楷体_GB2312" w:cs="Times New Roman"/>
          <w:sz w:val="36"/>
          <w:szCs w:val="24"/>
        </w:rPr>
        <w:t>教育部高等教育司制</w:t>
      </w:r>
    </w:p>
    <w:p>
      <w:pPr>
        <w:jc w:val="center"/>
        <w:rPr>
          <w:rFonts w:ascii="Arial" w:hAnsi="Arial" w:eastAsia="楷体_GB2312" w:cs="Times New Roman"/>
          <w:sz w:val="36"/>
          <w:szCs w:val="24"/>
        </w:rPr>
      </w:pPr>
      <w:r>
        <w:rPr>
          <w:rFonts w:ascii="Arial" w:hAnsi="Arial" w:eastAsia="楷体_GB2312" w:cs="Times New Roman"/>
          <w:sz w:val="36"/>
          <w:szCs w:val="24"/>
        </w:rPr>
        <w:br w:type="page"/>
      </w:r>
    </w:p>
    <w:p>
      <w:pPr>
        <w:jc w:val="center"/>
        <w:rPr>
          <w:rFonts w:ascii="黑体" w:hAnsi="Arial" w:eastAsia="黑体" w:cs="Times New Roman"/>
          <w:bCs/>
          <w:spacing w:val="100"/>
          <w:sz w:val="36"/>
          <w:szCs w:val="36"/>
        </w:rPr>
      </w:pPr>
      <w:r>
        <w:rPr>
          <w:rFonts w:hint="eastAsia" w:ascii="黑体" w:hAnsi="Arial" w:eastAsia="黑体" w:cs="Times New Roman"/>
          <w:bCs/>
          <w:spacing w:val="100"/>
          <w:sz w:val="36"/>
          <w:szCs w:val="36"/>
        </w:rPr>
        <w:t>填表说明</w:t>
      </w:r>
    </w:p>
    <w:p>
      <w:pPr>
        <w:jc w:val="center"/>
        <w:rPr>
          <w:rFonts w:ascii="仿宋_GB2312" w:hAnsi="Arial" w:eastAsia="仿宋_GB2312" w:cs="Times New Roman"/>
          <w:spacing w:val="100"/>
          <w:sz w:val="32"/>
          <w:szCs w:val="32"/>
        </w:rPr>
      </w:pP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1.采集表填写内容必须实事求是，表达准确严谨。填报内容不得有空缺项，如无内容应填“无”。</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2.采集表须在</w:t>
      </w:r>
      <w:r>
        <w:rPr>
          <w:rFonts w:ascii="仿宋" w:hAnsi="仿宋" w:eastAsia="仿宋" w:cs="Times New Roman"/>
          <w:sz w:val="32"/>
          <w:szCs w:val="32"/>
        </w:rPr>
        <w:t>线填写</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3.专业</w:t>
      </w:r>
      <w:r>
        <w:rPr>
          <w:rFonts w:ascii="仿宋" w:hAnsi="仿宋" w:eastAsia="仿宋" w:cs="Times New Roman"/>
          <w:sz w:val="32"/>
          <w:szCs w:val="32"/>
        </w:rPr>
        <w:t>人才培养方案作为附件在申报系统</w:t>
      </w:r>
      <w:r>
        <w:rPr>
          <w:rFonts w:hint="eastAsia" w:ascii="仿宋" w:hAnsi="仿宋" w:eastAsia="仿宋" w:cs="Times New Roman"/>
          <w:sz w:val="32"/>
          <w:szCs w:val="32"/>
        </w:rPr>
        <w:t>内</w:t>
      </w:r>
      <w:r>
        <w:rPr>
          <w:rFonts w:ascii="仿宋" w:hAnsi="仿宋" w:eastAsia="仿宋" w:cs="Times New Roman"/>
          <w:sz w:val="32"/>
          <w:szCs w:val="32"/>
        </w:rPr>
        <w:t>提交。</w:t>
      </w:r>
    </w:p>
    <w:p>
      <w:pPr>
        <w:ind w:firstLine="640" w:firstLineChars="200"/>
        <w:rPr>
          <w:rFonts w:ascii="仿宋" w:hAnsi="仿宋" w:eastAsia="仿宋" w:cs="Times New Roman"/>
          <w:sz w:val="32"/>
          <w:szCs w:val="32"/>
        </w:rPr>
      </w:pPr>
      <w:r>
        <w:rPr>
          <w:rFonts w:ascii="仿宋" w:hAnsi="仿宋" w:eastAsia="仿宋" w:cs="Times New Roman"/>
          <w:sz w:val="32"/>
          <w:szCs w:val="32"/>
        </w:rPr>
        <w:t>4.报送</w:t>
      </w:r>
      <w:r>
        <w:rPr>
          <w:rFonts w:hint="eastAsia" w:ascii="仿宋" w:hAnsi="仿宋" w:eastAsia="仿宋" w:cs="Times New Roman"/>
          <w:sz w:val="32"/>
          <w:szCs w:val="32"/>
        </w:rPr>
        <w:t>单位</w:t>
      </w:r>
      <w:r>
        <w:rPr>
          <w:rFonts w:ascii="仿宋" w:hAnsi="仿宋" w:eastAsia="仿宋" w:cs="Times New Roman"/>
          <w:sz w:val="32"/>
          <w:szCs w:val="32"/>
        </w:rPr>
        <w:t>在线</w:t>
      </w:r>
      <w:r>
        <w:rPr>
          <w:rFonts w:hint="eastAsia" w:ascii="仿宋" w:hAnsi="仿宋" w:eastAsia="仿宋" w:cs="Times New Roman"/>
          <w:sz w:val="32"/>
          <w:szCs w:val="32"/>
        </w:rPr>
        <w:t>填报</w:t>
      </w:r>
      <w:r>
        <w:rPr>
          <w:rFonts w:ascii="仿宋" w:hAnsi="仿宋" w:eastAsia="仿宋" w:cs="Times New Roman"/>
          <w:sz w:val="32"/>
          <w:szCs w:val="32"/>
        </w:rPr>
        <w:t>结束后</w:t>
      </w:r>
      <w:r>
        <w:rPr>
          <w:rFonts w:hint="eastAsia" w:ascii="仿宋" w:hAnsi="仿宋" w:eastAsia="仿宋" w:cs="Times New Roman"/>
          <w:sz w:val="32"/>
          <w:szCs w:val="32"/>
        </w:rPr>
        <w:t>，</w:t>
      </w:r>
      <w:r>
        <w:rPr>
          <w:rFonts w:ascii="仿宋" w:hAnsi="仿宋" w:eastAsia="仿宋" w:cs="Times New Roman"/>
          <w:sz w:val="32"/>
          <w:szCs w:val="32"/>
        </w:rPr>
        <w:t>导出</w:t>
      </w:r>
      <w:r>
        <w:rPr>
          <w:rFonts w:hint="eastAsia" w:ascii="仿宋" w:hAnsi="仿宋" w:eastAsia="仿宋" w:cs="Times New Roman"/>
          <w:sz w:val="32"/>
          <w:szCs w:val="32"/>
        </w:rPr>
        <w:t>《国</w:t>
      </w:r>
      <w:r>
        <w:rPr>
          <w:rFonts w:ascii="仿宋" w:hAnsi="仿宋" w:eastAsia="仿宋" w:cs="Times New Roman"/>
          <w:sz w:val="32"/>
          <w:szCs w:val="32"/>
        </w:rPr>
        <w:t>家级</w:t>
      </w:r>
      <w:r>
        <w:rPr>
          <w:rFonts w:hint="eastAsia" w:ascii="仿宋" w:hAnsi="仿宋" w:eastAsia="仿宋" w:cs="Times New Roman"/>
          <w:sz w:val="32"/>
          <w:szCs w:val="32"/>
        </w:rPr>
        <w:t>一</w:t>
      </w:r>
      <w:r>
        <w:rPr>
          <w:rFonts w:ascii="仿宋" w:hAnsi="仿宋" w:eastAsia="仿宋" w:cs="Times New Roman"/>
          <w:sz w:val="32"/>
          <w:szCs w:val="32"/>
        </w:rPr>
        <w:t>流本科专业建设点</w:t>
      </w:r>
      <w:r>
        <w:rPr>
          <w:rFonts w:hint="eastAsia" w:ascii="仿宋" w:hAnsi="仿宋" w:eastAsia="仿宋" w:cs="Times New Roman"/>
          <w:sz w:val="32"/>
          <w:szCs w:val="32"/>
        </w:rPr>
        <w:t>信息</w:t>
      </w:r>
      <w:r>
        <w:rPr>
          <w:rFonts w:ascii="仿宋" w:hAnsi="仿宋" w:eastAsia="仿宋" w:cs="Times New Roman"/>
          <w:sz w:val="32"/>
          <w:szCs w:val="32"/>
        </w:rPr>
        <w:t>汇总表》</w:t>
      </w:r>
      <w:r>
        <w:rPr>
          <w:rFonts w:hint="eastAsia" w:ascii="仿宋" w:hAnsi="仿宋" w:eastAsia="仿宋" w:cs="Times New Roman"/>
          <w:sz w:val="32"/>
          <w:szCs w:val="32"/>
        </w:rPr>
        <w:t>，按</w:t>
      </w:r>
      <w:r>
        <w:rPr>
          <w:rFonts w:ascii="仿宋" w:hAnsi="仿宋" w:eastAsia="仿宋" w:cs="Times New Roman"/>
          <w:sz w:val="32"/>
          <w:szCs w:val="32"/>
        </w:rPr>
        <w:t>要求加</w:t>
      </w:r>
      <w:r>
        <w:rPr>
          <w:rFonts w:hint="eastAsia" w:ascii="仿宋" w:hAnsi="仿宋" w:eastAsia="仿宋" w:cs="Times New Roman"/>
          <w:sz w:val="32"/>
          <w:szCs w:val="32"/>
        </w:rPr>
        <w:t>盖</w:t>
      </w:r>
      <w:r>
        <w:rPr>
          <w:rFonts w:ascii="仿宋" w:hAnsi="仿宋" w:eastAsia="仿宋" w:cs="Times New Roman"/>
          <w:sz w:val="32"/>
          <w:szCs w:val="32"/>
        </w:rPr>
        <w:t>公章后，于报送截止日前寄</w:t>
      </w:r>
      <w:r>
        <w:rPr>
          <w:rFonts w:hint="eastAsia" w:ascii="仿宋" w:hAnsi="仿宋" w:eastAsia="仿宋" w:cs="Times New Roman"/>
          <w:sz w:val="32"/>
          <w:szCs w:val="32"/>
        </w:rPr>
        <w:t>至</w:t>
      </w:r>
      <w:r>
        <w:rPr>
          <w:rFonts w:ascii="仿宋" w:hAnsi="仿宋" w:eastAsia="仿宋" w:cs="Times New Roman"/>
          <w:sz w:val="32"/>
          <w:szCs w:val="32"/>
        </w:rPr>
        <w:t>教育部</w:t>
      </w:r>
      <w:r>
        <w:rPr>
          <w:rFonts w:hint="eastAsia" w:ascii="仿宋" w:hAnsi="仿宋" w:eastAsia="仿宋" w:cs="Times New Roman"/>
          <w:sz w:val="32"/>
          <w:szCs w:val="32"/>
        </w:rPr>
        <w:t>高等</w:t>
      </w:r>
      <w:r>
        <w:rPr>
          <w:rFonts w:ascii="仿宋" w:hAnsi="仿宋" w:eastAsia="仿宋" w:cs="Times New Roman"/>
          <w:sz w:val="32"/>
          <w:szCs w:val="32"/>
        </w:rPr>
        <w:t>教育司</w:t>
      </w:r>
      <w:r>
        <w:rPr>
          <w:rFonts w:hint="eastAsia" w:ascii="仿宋" w:hAnsi="仿宋" w:eastAsia="仿宋" w:cs="Times New Roman"/>
          <w:sz w:val="32"/>
          <w:szCs w:val="32"/>
        </w:rPr>
        <w:t>。</w:t>
      </w:r>
    </w:p>
    <w:p>
      <w:pPr>
        <w:ind w:firstLine="640" w:firstLineChars="200"/>
        <w:rPr>
          <w:rFonts w:ascii="仿宋" w:hAnsi="仿宋" w:eastAsia="仿宋" w:cs="Times New Roman"/>
          <w:sz w:val="32"/>
          <w:szCs w:val="32"/>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rPr>
          <w:rFonts w:ascii="宋体" w:hAnsi="宋体" w:eastAsia="宋体" w:cs="宋体"/>
          <w:sz w:val="30"/>
          <w:szCs w:val="30"/>
        </w:rPr>
      </w:pPr>
    </w:p>
    <w:p>
      <w:pPr>
        <w:spacing w:line="440" w:lineRule="exact"/>
        <w:rPr>
          <w:rFonts w:ascii="Arial" w:hAnsi="Arial" w:eastAsia="楷体_GB2312" w:cs="Times New Roman"/>
          <w:sz w:val="36"/>
          <w:szCs w:val="24"/>
        </w:rPr>
      </w:pPr>
      <w:r>
        <w:rPr>
          <w:rFonts w:ascii="宋体" w:hAnsi="宋体" w:eastAsia="宋体" w:cs="宋体"/>
          <w:sz w:val="30"/>
          <w:szCs w:val="30"/>
        </w:rPr>
        <w:br w:type="page"/>
      </w:r>
    </w:p>
    <w:p>
      <w:pPr>
        <w:spacing w:line="440" w:lineRule="exact"/>
        <w:jc w:val="center"/>
        <w:rPr>
          <w:rFonts w:ascii="黑体" w:hAnsi="Times New Roman" w:eastAsia="黑体" w:cs="Times New Roman"/>
          <w:bCs/>
          <w:sz w:val="36"/>
          <w:szCs w:val="36"/>
        </w:rPr>
      </w:pPr>
    </w:p>
    <w:p>
      <w:pPr>
        <w:spacing w:line="440" w:lineRule="exact"/>
        <w:jc w:val="center"/>
        <w:rPr>
          <w:rFonts w:ascii="方正小标宋简体" w:hAnsi="Times New Roman" w:eastAsia="方正小标宋简体" w:cs="Times New Roman"/>
          <w:bCs/>
          <w:sz w:val="36"/>
          <w:szCs w:val="36"/>
        </w:rPr>
      </w:pPr>
      <w:r>
        <w:rPr>
          <w:rFonts w:hint="eastAsia" w:ascii="方正小标宋简体" w:hAnsi="Times New Roman" w:eastAsia="方正小标宋简体" w:cs="Times New Roman"/>
          <w:bCs/>
          <w:sz w:val="36"/>
          <w:szCs w:val="36"/>
        </w:rPr>
        <w:t>目    录</w:t>
      </w:r>
    </w:p>
    <w:p>
      <w:pPr>
        <w:spacing w:line="360" w:lineRule="auto"/>
        <w:rPr>
          <w:rFonts w:ascii="仿宋_GB2312" w:hAnsi="Times New Roman" w:eastAsia="仿宋_GB2312" w:cs="Times New Roman"/>
          <w:sz w:val="32"/>
          <w:szCs w:val="24"/>
        </w:rPr>
      </w:pP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一</w:t>
      </w:r>
      <w:r>
        <w:rPr>
          <w:rFonts w:hint="eastAsia" w:ascii="仿宋_GB2312" w:hAnsi="仿宋" w:eastAsia="仿宋_GB2312" w:cs="Times New Roman"/>
          <w:sz w:val="32"/>
          <w:szCs w:val="32"/>
        </w:rPr>
        <w:t>、所在</w:t>
      </w:r>
      <w:r>
        <w:rPr>
          <w:rFonts w:ascii="仿宋_GB2312" w:hAnsi="仿宋" w:eastAsia="仿宋_GB2312" w:cs="Times New Roman"/>
          <w:sz w:val="32"/>
          <w:szCs w:val="32"/>
        </w:rPr>
        <w:t>高校基本情况</w:t>
      </w:r>
    </w:p>
    <w:p>
      <w:pPr>
        <w:spacing w:line="360" w:lineRule="auto"/>
        <w:ind w:firstLine="640" w:firstLineChars="200"/>
        <w:rPr>
          <w:rFonts w:ascii="仿宋_GB2312" w:hAnsi="仿宋" w:eastAsia="仿宋_GB2312" w:cs="Times New Roman"/>
          <w:sz w:val="32"/>
          <w:szCs w:val="32"/>
        </w:rPr>
      </w:pPr>
      <w:r>
        <w:rPr>
          <w:rFonts w:ascii="仿宋_GB2312" w:hAnsi="仿宋" w:eastAsia="仿宋_GB2312" w:cs="Times New Roman"/>
          <w:sz w:val="32"/>
          <w:szCs w:val="32"/>
        </w:rPr>
        <w:t>二</w:t>
      </w:r>
      <w:r>
        <w:rPr>
          <w:rFonts w:hint="eastAsia" w:ascii="仿宋_GB2312" w:hAnsi="仿宋" w:eastAsia="仿宋_GB2312" w:cs="Times New Roman"/>
          <w:sz w:val="32"/>
          <w:szCs w:val="32"/>
        </w:rPr>
        <w:t>、</w:t>
      </w:r>
      <w:r>
        <w:rPr>
          <w:rFonts w:ascii="仿宋_GB2312" w:hAnsi="仿宋" w:eastAsia="仿宋_GB2312" w:cs="Times New Roman"/>
          <w:sz w:val="32"/>
          <w:szCs w:val="32"/>
        </w:rPr>
        <w:t>报送专业情况</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1.专业基本情况</w:t>
      </w:r>
    </w:p>
    <w:p>
      <w:pPr>
        <w:spacing w:line="360" w:lineRule="auto"/>
        <w:ind w:firstLine="640" w:firstLineChars="200"/>
        <w:rPr>
          <w:rFonts w:ascii="仿宋_GB2312" w:hAnsi="仿宋" w:eastAsia="仿宋_GB2312" w:cs="Times New Roman"/>
          <w:bCs/>
          <w:spacing w:val="20"/>
          <w:sz w:val="32"/>
          <w:szCs w:val="32"/>
        </w:rPr>
      </w:pPr>
      <w:r>
        <w:rPr>
          <w:rFonts w:hint="eastAsia" w:ascii="仿宋_GB2312" w:hAnsi="仿宋" w:eastAsia="仿宋_GB2312" w:cs="Times New Roman"/>
          <w:sz w:val="32"/>
          <w:szCs w:val="32"/>
        </w:rPr>
        <w:t>2</w:t>
      </w:r>
      <w:r>
        <w:rPr>
          <w:rFonts w:hint="eastAsia" w:ascii="仿宋_GB2312" w:hAnsi="仿宋" w:eastAsia="仿宋_GB2312" w:cs="Times New Roman"/>
          <w:bCs/>
          <w:sz w:val="32"/>
          <w:szCs w:val="32"/>
        </w:rPr>
        <w:t>.专业负责人基本情况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3.近3年本专业毕业生就业（升学）情况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4.近3年本专业获省部级及以上奖励和支持情况</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5.专业定位、历史沿革和特色优势</w:t>
      </w:r>
    </w:p>
    <w:p>
      <w:pPr>
        <w:spacing w:line="360" w:lineRule="auto"/>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6.深化专业综合改革的主要措施和成效</w:t>
      </w:r>
    </w:p>
    <w:p>
      <w:pPr>
        <w:spacing w:line="360" w:lineRule="auto"/>
        <w:ind w:firstLine="640" w:firstLineChars="200"/>
        <w:rPr>
          <w:rFonts w:ascii="仿宋_GB2312" w:hAnsi="仿宋" w:eastAsia="仿宋_GB2312" w:cs="Times New Roman"/>
          <w:bCs/>
          <w:kern w:val="0"/>
          <w:sz w:val="32"/>
          <w:szCs w:val="32"/>
        </w:rPr>
      </w:pPr>
      <w:r>
        <w:rPr>
          <w:rFonts w:hint="eastAsia" w:ascii="仿宋_GB2312" w:hAnsi="仿宋" w:eastAsia="仿宋_GB2312" w:cs="Times New Roman"/>
          <w:bCs/>
          <w:kern w:val="0"/>
          <w:sz w:val="32"/>
          <w:szCs w:val="32"/>
        </w:rPr>
        <w:t>7.加强师资队伍和基层教学组织建设的主要举措</w:t>
      </w:r>
      <w:r>
        <w:rPr>
          <w:rFonts w:ascii="仿宋_GB2312" w:hAnsi="仿宋" w:eastAsia="仿宋_GB2312" w:cs="Times New Roman"/>
          <w:bCs/>
          <w:kern w:val="0"/>
          <w:sz w:val="32"/>
          <w:szCs w:val="32"/>
        </w:rPr>
        <w:t>及</w:t>
      </w:r>
      <w:r>
        <w:rPr>
          <w:rFonts w:hint="eastAsia" w:ascii="仿宋_GB2312" w:hAnsi="仿宋" w:eastAsia="仿宋_GB2312" w:cs="Times New Roman"/>
          <w:bCs/>
          <w:kern w:val="0"/>
          <w:sz w:val="32"/>
          <w:szCs w:val="32"/>
        </w:rPr>
        <w:t>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kern w:val="0"/>
          <w:sz w:val="32"/>
          <w:szCs w:val="32"/>
        </w:rPr>
        <w:t>8.加强专业教学质量保障体系建设的主要举措和成效</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9.毕业生培养质量的跟踪调查结果和外部评价</w:t>
      </w:r>
    </w:p>
    <w:p>
      <w:pPr>
        <w:spacing w:line="360" w:lineRule="auto"/>
        <w:ind w:firstLine="640" w:firstLineChars="200"/>
        <w:rPr>
          <w:rFonts w:ascii="仿宋_GB2312" w:hAnsi="仿宋" w:eastAsia="仿宋_GB2312" w:cs="Times New Roman"/>
          <w:bCs/>
          <w:sz w:val="32"/>
          <w:szCs w:val="32"/>
        </w:rPr>
      </w:pPr>
      <w:r>
        <w:rPr>
          <w:rFonts w:hint="eastAsia" w:ascii="仿宋_GB2312" w:hAnsi="仿宋" w:eastAsia="仿宋_GB2312" w:cs="Times New Roman"/>
          <w:bCs/>
          <w:sz w:val="32"/>
          <w:szCs w:val="32"/>
        </w:rPr>
        <w:t>三、下一步推进专业建设和改革的主要思路及举措</w:t>
      </w:r>
    </w:p>
    <w:p>
      <w:pPr>
        <w:rPr>
          <w:rFonts w:ascii="黑体" w:hAnsi="黑体" w:eastAsia="黑体" w:cs="Times New Roman"/>
          <w:sz w:val="32"/>
          <w:szCs w:val="32"/>
        </w:rPr>
      </w:pPr>
      <w:r>
        <w:rPr>
          <w:rFonts w:hint="eastAsia" w:ascii="仿宋_GB2312" w:hAnsi="黑体" w:eastAsia="仿宋_GB2312" w:cs="Times New Roman"/>
          <w:bCs/>
          <w:sz w:val="36"/>
          <w:szCs w:val="36"/>
        </w:rPr>
        <w:br w:type="page"/>
      </w:r>
      <w:r>
        <w:rPr>
          <w:rFonts w:hint="eastAsia" w:ascii="黑体" w:hAnsi="黑体" w:eastAsia="黑体" w:cs="Times New Roman"/>
          <w:sz w:val="32"/>
          <w:szCs w:val="32"/>
        </w:rPr>
        <w:t>一、所在高校基本情况</w:t>
      </w:r>
    </w:p>
    <w:tbl>
      <w:tblPr>
        <w:tblStyle w:val="5"/>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3"/>
        <w:gridCol w:w="708"/>
        <w:gridCol w:w="1022"/>
        <w:gridCol w:w="3005"/>
        <w:gridCol w:w="375"/>
        <w:gridCol w:w="115"/>
        <w:gridCol w:w="1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学校名称</w:t>
            </w:r>
          </w:p>
        </w:tc>
        <w:tc>
          <w:tcPr>
            <w:tcW w:w="1730" w:type="dxa"/>
            <w:gridSpan w:val="2"/>
            <w:vAlign w:val="center"/>
          </w:tcPr>
          <w:p>
            <w:pPr>
              <w:spacing w:line="360" w:lineRule="auto"/>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青岛农业大学</w:t>
            </w:r>
          </w:p>
        </w:tc>
        <w:tc>
          <w:tcPr>
            <w:tcW w:w="3005" w:type="dxa"/>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学校代码</w:t>
            </w:r>
          </w:p>
        </w:tc>
        <w:tc>
          <w:tcPr>
            <w:tcW w:w="1651" w:type="dxa"/>
            <w:gridSpan w:val="3"/>
            <w:vAlign w:val="center"/>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10435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Merge w:val="restart"/>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学校办学</w:t>
            </w:r>
          </w:p>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基本类型</w:t>
            </w: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□部委院校  </w:t>
            </w:r>
            <w:r>
              <w:rPr>
                <w:rFonts w:ascii="Times New Roman" w:hAnsi="Times New Roman" w:eastAsia="仿宋_GB2312" w:cs="Times New Roman"/>
                <w:sz w:val="24"/>
                <w:szCs w:val="24"/>
              </w:rPr>
              <w:sym w:font="Wingdings 2" w:char="00A3"/>
            </w:r>
            <w:r>
              <w:rPr>
                <w:rFonts w:ascii="Times New Roman" w:hAnsi="Times New Roman" w:eastAsia="仿宋_GB2312" w:cs="Times New Roman"/>
                <w:sz w:val="24"/>
                <w:szCs w:val="24"/>
              </w:rPr>
              <w:t xml:space="preserve">地方院校 </w:t>
            </w:r>
            <w:r>
              <w:rPr>
                <w:rFonts w:ascii="Times New Roman" w:hAnsi="Times New Roman" w:eastAsia="仿宋_GB2312" w:cs="Times New Roman"/>
                <w:sz w:val="24"/>
                <w:szCs w:val="24"/>
              </w:rPr>
              <w:sym w:font="Wingdings 2" w:char="0052"/>
            </w:r>
            <w:r>
              <w:rPr>
                <w:rFonts w:hint="eastAsia" w:ascii="Times New Roman" w:hAnsi="Times New Roman" w:eastAsia="仿宋_GB2312" w:cs="Times New Roman"/>
                <w:sz w:val="24"/>
                <w:szCs w:val="24"/>
              </w:rPr>
              <w:t>部省</w:t>
            </w:r>
            <w:r>
              <w:rPr>
                <w:rFonts w:ascii="Times New Roman" w:hAnsi="Times New Roman" w:eastAsia="仿宋_GB2312" w:cs="Times New Roman"/>
                <w:sz w:val="24"/>
                <w:szCs w:val="24"/>
              </w:rPr>
              <w:t>合建高校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Merge w:val="continue"/>
          </w:tcPr>
          <w:p>
            <w:pPr>
              <w:spacing w:line="360" w:lineRule="auto"/>
              <w:rPr>
                <w:rFonts w:ascii="Times New Roman" w:hAnsi="Times New Roman" w:eastAsia="仿宋_GB2312" w:cs="Times New Roman"/>
                <w:sz w:val="24"/>
                <w:szCs w:val="24"/>
              </w:rPr>
            </w:pPr>
          </w:p>
        </w:tc>
        <w:tc>
          <w:tcPr>
            <w:tcW w:w="6386" w:type="dxa"/>
            <w:gridSpan w:val="6"/>
          </w:tcPr>
          <w:p>
            <w:pPr>
              <w:spacing w:line="360" w:lineRule="auto"/>
              <w:rPr>
                <w:rFonts w:ascii="Times New Roman" w:hAnsi="Times New Roman" w:eastAsia="仿宋_GB2312" w:cs="Times New Roman"/>
                <w:sz w:val="24"/>
                <w:szCs w:val="24"/>
              </w:rPr>
            </w:pPr>
            <w:r>
              <w:rPr>
                <w:rFonts w:ascii="Times New Roman" w:hAnsi="Times New Roman" w:eastAsia="仿宋_GB2312" w:cs="Times New Roman"/>
                <w:sz w:val="24"/>
                <w:szCs w:val="24"/>
              </w:rPr>
              <w:sym w:font="Wingdings 2" w:char="0052"/>
            </w:r>
            <w:r>
              <w:rPr>
                <w:rFonts w:ascii="Times New Roman" w:hAnsi="Times New Roman" w:eastAsia="仿宋_GB2312" w:cs="Times New Roman"/>
                <w:sz w:val="24"/>
                <w:szCs w:val="24"/>
              </w:rPr>
              <w:t>公办  □民办  □中外合作办学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spacing w:line="360" w:lineRule="auto"/>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在校本科生总数</w:t>
            </w:r>
          </w:p>
        </w:tc>
        <w:tc>
          <w:tcPr>
            <w:tcW w:w="708" w:type="dxa"/>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517" w:type="dxa"/>
            <w:gridSpan w:val="4"/>
            <w:vAlign w:val="center"/>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近3</w:t>
            </w:r>
            <w:r>
              <w:rPr>
                <w:rFonts w:ascii="Times New Roman" w:hAnsi="Times New Roman" w:eastAsia="仿宋_GB2312" w:cs="Times New Roman"/>
                <w:sz w:val="24"/>
                <w:szCs w:val="24"/>
              </w:rPr>
              <w:t>年年均本科招生数</w:t>
            </w:r>
          </w:p>
        </w:tc>
        <w:tc>
          <w:tcPr>
            <w:tcW w:w="1161" w:type="dxa"/>
            <w:vAlign w:val="center"/>
          </w:tcPr>
          <w:p>
            <w:pPr>
              <w:spacing w:line="360" w:lineRule="auto"/>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专任教师总数</w:t>
            </w:r>
          </w:p>
        </w:tc>
        <w:tc>
          <w:tcPr>
            <w:tcW w:w="708" w:type="dxa"/>
            <w:vAlign w:val="center"/>
          </w:tcPr>
          <w:p>
            <w:pPr>
              <w:spacing w:line="320" w:lineRule="exact"/>
              <w:jc w:val="right"/>
              <w:rPr>
                <w:rFonts w:ascii="Times New Roman" w:hAnsi="Times New Roman" w:eastAsia="仿宋_GB2312" w:cs="Times New Roman"/>
                <w:sz w:val="24"/>
                <w:szCs w:val="24"/>
              </w:rPr>
            </w:pPr>
            <w:r>
              <w:rPr>
                <w:rFonts w:ascii="Times New Roman" w:hAnsi="Times New Roman" w:eastAsia="仿宋_GB2312" w:cs="Times New Roman"/>
                <w:sz w:val="24"/>
                <w:szCs w:val="24"/>
              </w:rPr>
              <w:t>人</w:t>
            </w:r>
          </w:p>
        </w:tc>
        <w:tc>
          <w:tcPr>
            <w:tcW w:w="4517" w:type="dxa"/>
            <w:gridSpan w:val="4"/>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专任教师中副教授及以上职称比例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973" w:type="dxa"/>
            <w:vAlign w:val="center"/>
          </w:tcPr>
          <w:p>
            <w:pPr>
              <w:ind w:left="-105" w:leftChars="-50" w:right="-105" w:rightChars="-50"/>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生师比</w:t>
            </w:r>
          </w:p>
        </w:tc>
        <w:tc>
          <w:tcPr>
            <w:tcW w:w="708" w:type="dxa"/>
            <w:vAlign w:val="center"/>
          </w:tcPr>
          <w:p>
            <w:pPr>
              <w:spacing w:line="320" w:lineRule="exact"/>
              <w:jc w:val="center"/>
              <w:rPr>
                <w:rFonts w:ascii="Times New Roman" w:hAnsi="Times New Roman" w:eastAsia="仿宋_GB2312" w:cs="Times New Roman"/>
                <w:sz w:val="24"/>
                <w:szCs w:val="24"/>
              </w:rPr>
            </w:pPr>
          </w:p>
        </w:tc>
        <w:tc>
          <w:tcPr>
            <w:tcW w:w="4517" w:type="dxa"/>
            <w:gridSpan w:val="4"/>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具有硕博士学位教师占专任教师比例</w:t>
            </w:r>
          </w:p>
        </w:tc>
        <w:tc>
          <w:tcPr>
            <w:tcW w:w="1161" w:type="dxa"/>
            <w:vAlign w:val="center"/>
          </w:tcPr>
          <w:p>
            <w:pPr>
              <w:spacing w:line="360" w:lineRule="auto"/>
              <w:jc w:val="right"/>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2" w:hRule="atLeast"/>
        </w:trPr>
        <w:tc>
          <w:tcPr>
            <w:tcW w:w="1973" w:type="dxa"/>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推进高水平本科建设整体情况</w:t>
            </w:r>
          </w:p>
        </w:tc>
        <w:tc>
          <w:tcPr>
            <w:tcW w:w="6386" w:type="dxa"/>
            <w:gridSpan w:val="6"/>
          </w:tcPr>
          <w:p>
            <w:pPr>
              <w:spacing w:line="360" w:lineRule="auto"/>
              <w:jc w:val="left"/>
              <w:rPr>
                <w:rFonts w:hint="eastAsia" w:ascii="仿宋" w:hAnsi="仿宋" w:eastAsia="仿宋" w:cs="Times New Roman"/>
                <w:sz w:val="24"/>
                <w:szCs w:val="24"/>
              </w:rPr>
            </w:pPr>
            <w:r>
              <w:rPr>
                <w:rFonts w:hint="eastAsia" w:ascii="仿宋" w:hAnsi="仿宋" w:eastAsia="仿宋" w:cs="Times New Roman"/>
                <w:sz w:val="24"/>
                <w:szCs w:val="24"/>
              </w:rPr>
              <w:t>（落实“以本为本、四个回归”、推进“四新”建设、</w:t>
            </w:r>
            <w:r>
              <w:rPr>
                <w:rFonts w:hint="eastAsia" w:ascii="仿宋" w:hAnsi="仿宋" w:eastAsia="仿宋" w:cs="Times New Roman"/>
                <w:color w:val="auto"/>
                <w:sz w:val="24"/>
                <w:szCs w:val="24"/>
                <w:highlight w:val="none"/>
              </w:rPr>
              <w:t>完</w:t>
            </w:r>
            <w:r>
              <w:rPr>
                <w:rFonts w:hint="eastAsia" w:ascii="仿宋" w:hAnsi="仿宋" w:eastAsia="仿宋" w:cs="Times New Roman"/>
                <w:sz w:val="24"/>
                <w:szCs w:val="24"/>
                <w:highlight w:val="none"/>
              </w:rPr>
              <w:t>善协同育人</w:t>
            </w:r>
            <w:r>
              <w:rPr>
                <w:rFonts w:hint="eastAsia" w:ascii="仿宋" w:hAnsi="仿宋" w:eastAsia="仿宋" w:cs="Times New Roman"/>
                <w:sz w:val="24"/>
                <w:szCs w:val="24"/>
              </w:rPr>
              <w:t>和实践教学机制、培育以人才培养为中心的质量文化等，1200字以内）</w:t>
            </w:r>
          </w:p>
          <w:p>
            <w:pPr>
              <w:spacing w:line="360" w:lineRule="auto"/>
              <w:ind w:firstLine="480" w:firstLineChars="200"/>
              <w:rPr>
                <w:rFonts w:ascii="仿宋" w:hAnsi="仿宋" w:eastAsia="仿宋"/>
                <w:sz w:val="24"/>
                <w:szCs w:val="24"/>
              </w:rPr>
            </w:pPr>
            <w:r>
              <w:rPr>
                <w:rFonts w:hint="eastAsia" w:ascii="仿宋" w:hAnsi="仿宋" w:eastAsia="仿宋"/>
                <w:sz w:val="24"/>
                <w:szCs w:val="24"/>
              </w:rPr>
              <w:t>青岛农业大学始建于1951年，始终坚持“</w:t>
            </w:r>
            <w:r>
              <w:rPr>
                <w:rFonts w:ascii="仿宋" w:hAnsi="仿宋" w:eastAsia="仿宋"/>
                <w:sz w:val="24"/>
                <w:szCs w:val="24"/>
              </w:rPr>
              <w:t>以本为本</w:t>
            </w:r>
            <w:r>
              <w:rPr>
                <w:rFonts w:hint="eastAsia" w:ascii="仿宋" w:hAnsi="仿宋" w:eastAsia="仿宋"/>
                <w:sz w:val="24"/>
                <w:szCs w:val="24"/>
              </w:rPr>
              <w:t>”，扎实落实“</w:t>
            </w:r>
            <w:r>
              <w:rPr>
                <w:rFonts w:ascii="仿宋" w:hAnsi="仿宋" w:eastAsia="仿宋"/>
                <w:sz w:val="24"/>
                <w:szCs w:val="24"/>
              </w:rPr>
              <w:t>四个回归</w:t>
            </w:r>
            <w:r>
              <w:rPr>
                <w:rFonts w:hint="eastAsia" w:ascii="仿宋" w:hAnsi="仿宋" w:eastAsia="仿宋"/>
                <w:sz w:val="24"/>
                <w:szCs w:val="24"/>
              </w:rPr>
              <w:t>”</w:t>
            </w:r>
            <w:r>
              <w:rPr>
                <w:rFonts w:ascii="仿宋" w:hAnsi="仿宋" w:eastAsia="仿宋"/>
                <w:sz w:val="24"/>
                <w:szCs w:val="24"/>
              </w:rPr>
              <w:t>，</w:t>
            </w:r>
            <w:r>
              <w:rPr>
                <w:rFonts w:hint="eastAsia" w:ascii="仿宋" w:hAnsi="仿宋" w:eastAsia="仿宋"/>
                <w:sz w:val="24"/>
                <w:szCs w:val="24"/>
              </w:rPr>
              <w:t>铸就了“厚德、博学、笃行、致远”的校训和“勤奋、严谨、求实、创新”的校风，形成了“矢志三农、勤奋求实，自强不息</w:t>
            </w:r>
            <w:bookmarkStart w:id="2" w:name="_GoBack"/>
            <w:bookmarkEnd w:id="2"/>
            <w:r>
              <w:rPr>
                <w:rFonts w:hint="eastAsia" w:ascii="仿宋" w:hAnsi="仿宋" w:eastAsia="仿宋"/>
                <w:sz w:val="24"/>
                <w:szCs w:val="24"/>
              </w:rPr>
              <w:t>、追求卓越，培养高素质应用型人才”的办学特色。2012年被评为“山东特色名校工程”首批立项重点建设大学，2017年被列为山东省博士学位授予立项建设A类单位，2018年被列为山东省一流学科立项建设单位。建校以来，已为社会培养全日制毕业生13万余人，全日制在校生3万余人。</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办学定位明确，服务面向清晰，主动适应区域经济社会发展需求和行业产业发展需要，进一步调整与优化专业结构，培育新兴专业生长点，提高专业的社会适应性。坚持特色发展理念，紧密对接山东“十强”产业，强化专业内涵建设，构建优势突出、特色鲜明的专业体系。目前拥有农、工、理、经、管、文、艺、法等8个学科门类，78个本科专业，其中</w:t>
            </w:r>
            <w:r>
              <w:rPr>
                <w:rFonts w:ascii="仿宋" w:hAnsi="仿宋" w:eastAsia="仿宋"/>
                <w:sz w:val="24"/>
                <w:szCs w:val="24"/>
              </w:rPr>
              <w:t>，国家级特色专业建设点4个，教育部本科专业综合改革试点专业1 个，教育部卓越农林人才教育培养计划改革试点专业1个，山东省普通本科高校应用型人才培养专业发展支持计划获资助专业1个，省级品牌专业建设点1个，省级特色专业建设点13个，省级卓越工程师教育培养计划试点专业3个，</w:t>
            </w:r>
            <w:r>
              <w:rPr>
                <w:rFonts w:hint="eastAsia" w:ascii="仿宋" w:hAnsi="仿宋" w:eastAsia="仿宋"/>
                <w:sz w:val="24"/>
                <w:szCs w:val="24"/>
              </w:rPr>
              <w:t>特色名校建设工程重点建设专业15个，山东省</w:t>
            </w:r>
            <w:r>
              <w:rPr>
                <w:rFonts w:ascii="仿宋" w:hAnsi="仿宋" w:eastAsia="仿宋"/>
                <w:sz w:val="24"/>
                <w:szCs w:val="24"/>
              </w:rPr>
              <w:t>高水平应用型重点专业群</w:t>
            </w:r>
            <w:r>
              <w:rPr>
                <w:rFonts w:hint="eastAsia" w:ascii="仿宋" w:hAnsi="仿宋" w:eastAsia="仿宋"/>
                <w:sz w:val="24"/>
                <w:szCs w:val="24"/>
              </w:rPr>
              <w:t>7个</w:t>
            </w:r>
            <w:r>
              <w:rPr>
                <w:rFonts w:ascii="仿宋" w:hAnsi="仿宋" w:eastAsia="仿宋"/>
                <w:sz w:val="24"/>
                <w:szCs w:val="24"/>
              </w:rPr>
              <w:t>，</w:t>
            </w:r>
            <w:bookmarkStart w:id="0" w:name="head"/>
            <w:r>
              <w:rPr>
                <w:rFonts w:hint="eastAsia" w:ascii="仿宋" w:hAnsi="仿宋" w:eastAsia="仿宋"/>
                <w:sz w:val="24"/>
                <w:szCs w:val="24"/>
              </w:rPr>
              <w:t>省普通本科高校应用型人才培养</w:t>
            </w:r>
            <w:bookmarkEnd w:id="0"/>
            <w:r>
              <w:rPr>
                <w:rFonts w:hint="eastAsia" w:ascii="仿宋" w:hAnsi="仿宋" w:eastAsia="仿宋"/>
                <w:sz w:val="24"/>
                <w:szCs w:val="24"/>
              </w:rPr>
              <w:t>专业发展支持计划专业2个</w:t>
            </w:r>
            <w:r>
              <w:rPr>
                <w:rFonts w:ascii="仿宋" w:hAnsi="仿宋" w:eastAsia="仿宋"/>
                <w:sz w:val="24"/>
                <w:szCs w:val="24"/>
              </w:rPr>
              <w:t>，</w:t>
            </w:r>
            <w:r>
              <w:rPr>
                <w:rFonts w:hint="eastAsia" w:ascii="仿宋" w:hAnsi="仿宋" w:eastAsia="仿宋"/>
                <w:sz w:val="24"/>
                <w:szCs w:val="24"/>
              </w:rPr>
              <w:t>省</w:t>
            </w:r>
            <w:r>
              <w:rPr>
                <w:rFonts w:ascii="仿宋" w:hAnsi="仿宋" w:eastAsia="仿宋"/>
                <w:sz w:val="24"/>
                <w:szCs w:val="24"/>
              </w:rPr>
              <w:t>新旧动能转换专业对接产业项目</w:t>
            </w:r>
            <w:r>
              <w:rPr>
                <w:rFonts w:hint="eastAsia" w:ascii="仿宋" w:hAnsi="仿宋" w:eastAsia="仿宋"/>
                <w:sz w:val="24"/>
                <w:szCs w:val="24"/>
              </w:rPr>
              <w:t>2个</w:t>
            </w:r>
            <w:r>
              <w:rPr>
                <w:rFonts w:ascii="仿宋" w:hAnsi="仿宋" w:eastAsia="仿宋"/>
                <w:sz w:val="24"/>
                <w:szCs w:val="24"/>
              </w:rPr>
              <w:t>，校级特色专业23个。各专业从教学团队、人才培养模式、课程体系、教学内容、教学方法、教材</w:t>
            </w:r>
            <w:r>
              <w:rPr>
                <w:rFonts w:hint="eastAsia" w:ascii="仿宋" w:hAnsi="仿宋" w:eastAsia="仿宋"/>
                <w:sz w:val="24"/>
                <w:szCs w:val="24"/>
              </w:rPr>
              <w:t>和</w:t>
            </w:r>
            <w:r>
              <w:rPr>
                <w:rFonts w:ascii="仿宋" w:hAnsi="仿宋" w:eastAsia="仿宋"/>
                <w:sz w:val="24"/>
                <w:szCs w:val="24"/>
              </w:rPr>
              <w:t>教学资源库建设等方面进行了研究和改革，显著提升了专业教学水平与人才培养质量。</w:t>
            </w:r>
          </w:p>
          <w:p>
            <w:pPr>
              <w:spacing w:line="360" w:lineRule="auto"/>
              <w:ind w:firstLine="480" w:firstLineChars="200"/>
              <w:rPr>
                <w:rFonts w:ascii="仿宋" w:hAnsi="仿宋" w:eastAsia="仿宋"/>
                <w:sz w:val="24"/>
                <w:szCs w:val="24"/>
              </w:rPr>
            </w:pPr>
            <w:r>
              <w:rPr>
                <w:rFonts w:hint="eastAsia" w:ascii="仿宋" w:hAnsi="仿宋" w:eastAsia="仿宋"/>
                <w:sz w:val="24"/>
                <w:szCs w:val="24"/>
              </w:rPr>
              <w:t>积极推动“四新</w:t>
            </w:r>
            <w:r>
              <w:rPr>
                <w:rFonts w:ascii="仿宋" w:hAnsi="仿宋" w:eastAsia="仿宋"/>
                <w:sz w:val="24"/>
                <w:szCs w:val="24"/>
              </w:rPr>
              <w:t>”</w:t>
            </w:r>
            <w:r>
              <w:rPr>
                <w:rFonts w:hint="eastAsia" w:ascii="仿宋" w:hAnsi="仿宋" w:eastAsia="仿宋"/>
                <w:sz w:val="24"/>
                <w:szCs w:val="24"/>
              </w:rPr>
              <w:t>专业</w:t>
            </w:r>
            <w:r>
              <w:rPr>
                <w:rFonts w:ascii="仿宋" w:hAnsi="仿宋" w:eastAsia="仿宋"/>
                <w:sz w:val="24"/>
                <w:szCs w:val="24"/>
              </w:rPr>
              <w:t>建设</w:t>
            </w:r>
            <w:r>
              <w:rPr>
                <w:rFonts w:hint="eastAsia" w:ascii="仿宋" w:hAnsi="仿宋" w:eastAsia="仿宋"/>
                <w:sz w:val="24"/>
                <w:szCs w:val="24"/>
              </w:rPr>
              <w:t>探索与实践。2018年新上水生动物医学专业，撤销生态学专业，停招农村区域发展专业；2019年</w:t>
            </w:r>
            <w:r>
              <w:rPr>
                <w:rFonts w:ascii="仿宋" w:hAnsi="仿宋" w:eastAsia="仿宋"/>
                <w:sz w:val="24"/>
                <w:szCs w:val="24"/>
              </w:rPr>
              <w:t>新上马业科学专业</w:t>
            </w:r>
            <w:r>
              <w:rPr>
                <w:rFonts w:hint="eastAsia" w:ascii="仿宋" w:hAnsi="仿宋" w:eastAsia="仿宋"/>
                <w:sz w:val="24"/>
                <w:szCs w:val="24"/>
              </w:rPr>
              <w:t>。紧密对接“十强”产业，加强校企合作、深化产教融合、协同育人，20</w:t>
            </w:r>
            <w:r>
              <w:rPr>
                <w:rFonts w:ascii="仿宋" w:hAnsi="仿宋" w:eastAsia="仿宋"/>
                <w:sz w:val="24"/>
                <w:szCs w:val="24"/>
              </w:rPr>
              <w:t>08</w:t>
            </w:r>
            <w:r>
              <w:rPr>
                <w:rFonts w:hint="eastAsia" w:ascii="仿宋" w:hAnsi="仿宋" w:eastAsia="仿宋"/>
                <w:sz w:val="24"/>
                <w:szCs w:val="24"/>
              </w:rPr>
              <w:t>年以来，先后与青岛英谷教育集团、</w:t>
            </w:r>
            <w:r>
              <w:rPr>
                <w:rFonts w:ascii="仿宋" w:hAnsi="仿宋" w:eastAsia="仿宋"/>
                <w:sz w:val="24"/>
                <w:szCs w:val="24"/>
              </w:rPr>
              <w:t>济南</w:t>
            </w:r>
            <w:r>
              <w:rPr>
                <w:rFonts w:hint="eastAsia" w:ascii="仿宋" w:hAnsi="仿宋" w:eastAsia="仿宋"/>
                <w:sz w:val="24"/>
                <w:szCs w:val="24"/>
              </w:rPr>
              <w:t>骏</w:t>
            </w:r>
            <w:r>
              <w:rPr>
                <w:rFonts w:ascii="仿宋" w:hAnsi="仿宋" w:eastAsia="仿宋"/>
                <w:sz w:val="24"/>
                <w:szCs w:val="24"/>
              </w:rPr>
              <w:t>文科技股份有限公司</w:t>
            </w:r>
            <w:r>
              <w:rPr>
                <w:rFonts w:hint="eastAsia" w:ascii="仿宋" w:hAnsi="仿宋" w:eastAsia="仿宋"/>
                <w:sz w:val="24"/>
                <w:szCs w:val="24"/>
              </w:rPr>
              <w:t>合作，将信息技术、人工智能和互联网技术等新兴产业技术与传统专业嫁接，开设了计算机科学与技术（大数据）、</w:t>
            </w:r>
            <w:r>
              <w:rPr>
                <w:rFonts w:ascii="仿宋" w:hAnsi="仿宋" w:eastAsia="仿宋"/>
                <w:sz w:val="24"/>
                <w:szCs w:val="24"/>
              </w:rPr>
              <w:t>机械设计及其自动化（智能制造方向）</w:t>
            </w:r>
            <w:r>
              <w:rPr>
                <w:rFonts w:hint="eastAsia" w:ascii="仿宋" w:hAnsi="仿宋" w:eastAsia="仿宋"/>
                <w:sz w:val="24"/>
                <w:szCs w:val="24"/>
              </w:rPr>
              <w:t>、电子信息工程（机器人与人工智能）、</w:t>
            </w:r>
            <w:r>
              <w:rPr>
                <w:rFonts w:ascii="仿宋" w:hAnsi="仿宋" w:eastAsia="仿宋"/>
                <w:sz w:val="24"/>
                <w:szCs w:val="24"/>
              </w:rPr>
              <w:t>物流管理（网络商务与现代物流管理）</w:t>
            </w:r>
            <w:r>
              <w:rPr>
                <w:rFonts w:hint="eastAsia" w:ascii="仿宋" w:hAnsi="仿宋" w:eastAsia="仿宋"/>
                <w:sz w:val="24"/>
                <w:szCs w:val="24"/>
              </w:rPr>
              <w:t>、</w:t>
            </w:r>
            <w:r>
              <w:rPr>
                <w:rFonts w:ascii="仿宋" w:hAnsi="仿宋" w:eastAsia="仿宋"/>
                <w:sz w:val="24"/>
                <w:szCs w:val="24"/>
              </w:rPr>
              <w:t>英语</w:t>
            </w:r>
            <w:r>
              <w:rPr>
                <w:rFonts w:hint="eastAsia" w:ascii="仿宋" w:hAnsi="仿宋" w:eastAsia="仿宋"/>
                <w:sz w:val="24"/>
                <w:szCs w:val="24"/>
              </w:rPr>
              <w:t>（</w:t>
            </w:r>
            <w:r>
              <w:rPr>
                <w:rFonts w:ascii="仿宋" w:hAnsi="仿宋" w:eastAsia="仿宋"/>
                <w:sz w:val="24"/>
                <w:szCs w:val="24"/>
              </w:rPr>
              <w:t>跨境电子商务方向</w:t>
            </w:r>
            <w:r>
              <w:rPr>
                <w:rFonts w:hint="eastAsia" w:ascii="仿宋" w:hAnsi="仿宋" w:eastAsia="仿宋"/>
                <w:sz w:val="24"/>
                <w:szCs w:val="24"/>
              </w:rPr>
              <w:t>）、</w:t>
            </w:r>
            <w:r>
              <w:rPr>
                <w:rFonts w:ascii="仿宋" w:hAnsi="仿宋" w:eastAsia="仿宋"/>
                <w:sz w:val="24"/>
                <w:szCs w:val="24"/>
              </w:rPr>
              <w:t>风景园林专业（虚拟现实技术设计方向）</w:t>
            </w:r>
            <w:r>
              <w:rPr>
                <w:rFonts w:hint="eastAsia" w:ascii="仿宋" w:hAnsi="仿宋" w:eastAsia="仿宋"/>
                <w:sz w:val="24"/>
                <w:szCs w:val="24"/>
              </w:rPr>
              <w:t>等</w:t>
            </w:r>
            <w:r>
              <w:rPr>
                <w:rFonts w:ascii="仿宋" w:hAnsi="仿宋" w:eastAsia="仿宋"/>
                <w:sz w:val="24"/>
                <w:szCs w:val="24"/>
              </w:rPr>
              <w:t>12</w:t>
            </w:r>
            <w:r>
              <w:rPr>
                <w:rFonts w:hint="eastAsia" w:ascii="仿宋" w:hAnsi="仿宋" w:eastAsia="仿宋"/>
                <w:sz w:val="24"/>
                <w:szCs w:val="24"/>
              </w:rPr>
              <w:t>个校企合作办学专业方向，打造了“新工科”、“新文科”和“新商科”专业集群，促进了学科专业交叉融合发展。</w:t>
            </w:r>
          </w:p>
          <w:p>
            <w:pPr>
              <w:spacing w:line="360" w:lineRule="auto"/>
              <w:ind w:firstLine="480" w:firstLineChars="200"/>
              <w:jc w:val="left"/>
              <w:rPr>
                <w:rFonts w:ascii="仿宋" w:hAnsi="仿宋" w:eastAsia="仿宋"/>
                <w:sz w:val="24"/>
                <w:szCs w:val="24"/>
              </w:rPr>
            </w:pPr>
            <w:r>
              <w:rPr>
                <w:rFonts w:hint="eastAsia" w:ascii="仿宋" w:hAnsi="仿宋" w:eastAsia="仿宋"/>
                <w:sz w:val="24"/>
                <w:szCs w:val="24"/>
              </w:rPr>
              <w:t>坚持突出学生主体地位、突出因材施教，扎实推进学分制改革。学校2016年</w:t>
            </w:r>
            <w:r>
              <w:rPr>
                <w:rFonts w:ascii="仿宋" w:hAnsi="仿宋" w:eastAsia="仿宋"/>
                <w:sz w:val="24"/>
                <w:szCs w:val="24"/>
              </w:rPr>
              <w:t>作为山东省第二批学分制改革试点单位实现了由学年学分制</w:t>
            </w:r>
            <w:r>
              <w:rPr>
                <w:rFonts w:hint="eastAsia" w:ascii="仿宋" w:hAnsi="仿宋" w:eastAsia="仿宋"/>
                <w:sz w:val="24"/>
                <w:szCs w:val="24"/>
              </w:rPr>
              <w:t>向完全</w:t>
            </w:r>
            <w:r>
              <w:rPr>
                <w:rFonts w:ascii="仿宋" w:hAnsi="仿宋" w:eastAsia="仿宋"/>
                <w:sz w:val="24"/>
                <w:szCs w:val="24"/>
              </w:rPr>
              <w:t>学分制</w:t>
            </w:r>
            <w:r>
              <w:rPr>
                <w:rFonts w:hint="eastAsia" w:ascii="仿宋" w:hAnsi="仿宋" w:eastAsia="仿宋"/>
                <w:sz w:val="24"/>
                <w:szCs w:val="24"/>
              </w:rPr>
              <w:t>的</w:t>
            </w:r>
            <w:r>
              <w:rPr>
                <w:rFonts w:ascii="仿宋" w:hAnsi="仿宋" w:eastAsia="仿宋"/>
                <w:sz w:val="24"/>
                <w:szCs w:val="24"/>
              </w:rPr>
              <w:t>转变，</w:t>
            </w:r>
            <w:r>
              <w:rPr>
                <w:rFonts w:hint="eastAsia" w:ascii="仿宋" w:hAnsi="仿宋" w:eastAsia="仿宋"/>
                <w:sz w:val="24"/>
                <w:szCs w:val="24"/>
              </w:rPr>
              <w:t>助力学生多样化和个性化发展。</w:t>
            </w:r>
          </w:p>
          <w:p>
            <w:pPr>
              <w:spacing w:line="360" w:lineRule="auto"/>
              <w:ind w:firstLine="480" w:firstLineChars="200"/>
              <w:jc w:val="left"/>
              <w:rPr>
                <w:rFonts w:ascii="仿宋" w:hAnsi="仿宋" w:eastAsia="仿宋"/>
                <w:sz w:val="24"/>
                <w:szCs w:val="24"/>
              </w:rPr>
            </w:pPr>
            <w:r>
              <w:rPr>
                <w:rFonts w:hint="eastAsia" w:ascii="仿宋" w:hAnsi="仿宋" w:eastAsia="仿宋"/>
                <w:sz w:val="24"/>
                <w:szCs w:val="24"/>
              </w:rPr>
              <w:t>不断完善协同育人和实践教学机制，集聚优质教育资源，着力推进与政府部门、企事业单位合作办学、合作育人、合作就业、合作发展，实现</w:t>
            </w:r>
            <w:r>
              <w:rPr>
                <w:rFonts w:ascii="仿宋" w:hAnsi="仿宋" w:eastAsia="仿宋"/>
                <w:sz w:val="24"/>
                <w:szCs w:val="24"/>
              </w:rPr>
              <w:t>社会优质</w:t>
            </w:r>
            <w:r>
              <w:rPr>
                <w:rFonts w:hint="eastAsia" w:ascii="仿宋" w:hAnsi="仿宋" w:eastAsia="仿宋"/>
                <w:sz w:val="24"/>
                <w:szCs w:val="24"/>
              </w:rPr>
              <w:t>教育</w:t>
            </w:r>
            <w:r>
              <w:rPr>
                <w:rFonts w:ascii="仿宋" w:hAnsi="仿宋" w:eastAsia="仿宋"/>
                <w:sz w:val="24"/>
                <w:szCs w:val="24"/>
              </w:rPr>
              <w:t>资源共享，</w:t>
            </w:r>
            <w:r>
              <w:rPr>
                <w:rFonts w:hint="eastAsia" w:ascii="仿宋" w:hAnsi="仿宋" w:eastAsia="仿宋"/>
                <w:sz w:val="24"/>
                <w:szCs w:val="24"/>
              </w:rPr>
              <w:t>优化人才培养体系、</w:t>
            </w:r>
            <w:r>
              <w:rPr>
                <w:rFonts w:ascii="仿宋" w:hAnsi="仿宋" w:eastAsia="仿宋"/>
                <w:sz w:val="24"/>
                <w:szCs w:val="24"/>
              </w:rPr>
              <w:t>培养模式</w:t>
            </w:r>
            <w:r>
              <w:rPr>
                <w:rFonts w:hint="eastAsia" w:ascii="仿宋" w:hAnsi="仿宋" w:eastAsia="仿宋"/>
                <w:sz w:val="24"/>
                <w:szCs w:val="24"/>
              </w:rPr>
              <w:t>，强化实践教学，不断提升人才培养的目标达成度和社会满意度，</w:t>
            </w:r>
            <w:r>
              <w:rPr>
                <w:rFonts w:ascii="仿宋" w:hAnsi="仿宋" w:eastAsia="仿宋"/>
                <w:sz w:val="24"/>
                <w:szCs w:val="24"/>
              </w:rPr>
              <w:t>培育以人才培养为中心的</w:t>
            </w:r>
            <w:r>
              <w:rPr>
                <w:rFonts w:hint="eastAsia" w:ascii="仿宋" w:hAnsi="仿宋" w:eastAsia="仿宋"/>
                <w:sz w:val="24"/>
                <w:szCs w:val="24"/>
              </w:rPr>
              <w:t>质量文化。</w:t>
            </w:r>
          </w:p>
          <w:p>
            <w:pPr>
              <w:spacing w:line="360" w:lineRule="auto"/>
              <w:jc w:val="left"/>
              <w:rPr>
                <w:rFonts w:hint="eastAsia"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 w:hRule="atLeast"/>
        </w:trPr>
        <w:tc>
          <w:tcPr>
            <w:tcW w:w="1973" w:type="dxa"/>
            <w:vMerge w:val="restart"/>
            <w:vAlign w:val="center"/>
          </w:tcPr>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学校关于本科</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人才培养的重要</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政策文件</w:t>
            </w:r>
          </w:p>
          <w:p>
            <w:pPr>
              <w:spacing w:line="32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w:t>
            </w:r>
            <w:r>
              <w:rPr>
                <w:rFonts w:ascii="Times New Roman" w:hAnsi="Times New Roman" w:eastAsia="仿宋_GB2312" w:cs="Times New Roman"/>
                <w:sz w:val="24"/>
                <w:szCs w:val="24"/>
              </w:rPr>
              <w:t>10项</w:t>
            </w:r>
            <w:r>
              <w:rPr>
                <w:rFonts w:hint="eastAsia" w:ascii="Times New Roman" w:hAnsi="Times New Roman" w:eastAsia="仿宋_GB2312" w:cs="Times New Roman"/>
                <w:sz w:val="24"/>
                <w:szCs w:val="24"/>
              </w:rPr>
              <w:t>）</w:t>
            </w: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4402" w:type="dxa"/>
            <w:gridSpan w:val="3"/>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文件名称</w:t>
            </w:r>
          </w:p>
        </w:tc>
        <w:tc>
          <w:tcPr>
            <w:tcW w:w="1276" w:type="dxa"/>
            <w:gridSpan w:val="2"/>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印发时间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ascii="仿宋" w:hAnsi="仿宋" w:eastAsia="仿宋"/>
                <w:sz w:val="22"/>
              </w:rPr>
              <w:t>关于加快建设高水平本科教育的实施方案[青农大党字16号]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ascii="仿宋" w:hAnsi="仿宋" w:eastAsia="仿宋"/>
                <w:sz w:val="22"/>
              </w:rPr>
              <w:t>2019</w:t>
            </w:r>
            <w:r>
              <w:rPr>
                <w:rFonts w:hint="eastAsia" w:ascii="仿宋" w:hAnsi="仿宋" w:eastAsia="仿宋"/>
                <w:sz w:val="22"/>
              </w:rPr>
              <w:t>.</w:t>
            </w:r>
            <w:r>
              <w:rPr>
                <w:rFonts w:ascii="仿宋" w:hAnsi="仿宋" w:eastAsia="仿宋"/>
                <w:sz w:val="22"/>
              </w:rPr>
              <w:t xml:space="preserve">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青岛农业大学本科生实习工作管理规定（青农大校字〔2018〕47号）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val="en-US" w:eastAsia="zh-CN"/>
              </w:rPr>
              <w:t>3</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青岛农业大学本科生毕业论文（设计）学术不端行为认定及处理办法（青农大校字〔2017〕63号）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4</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青岛农业大学学士学位授予工作实施细则（青农大校字〔2017〕119号）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5</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青岛农业大学关于进一步加强课堂教学管理的意见（青农大校字〔2016〕125号）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2016.10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6</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青岛农业大学学生考试违纪及作弊行为的处理规定（青农大校字〔2017〕120号）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w:t>
            </w:r>
            <w:r>
              <w:rPr>
                <w:rFonts w:ascii="Times New Roman" w:hAnsi="Times New Roman" w:eastAsia="仿宋_GB2312"/>
                <w:szCs w:val="21"/>
              </w:rPr>
              <w:t>7</w:t>
            </w:r>
            <w:r>
              <w:rPr>
                <w:rFonts w:hint="eastAsia" w:ascii="Times New Roman" w:hAnsi="Times New Roman"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7</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青岛农业大学“卓越教学奖”评选办法（青农大校字〔2019〕47号）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201</w:t>
            </w:r>
            <w:r>
              <w:rPr>
                <w:rFonts w:ascii="Times New Roman" w:hAnsi="Times New Roman" w:eastAsia="仿宋_GB2312"/>
                <w:sz w:val="22"/>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8</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青岛农业大学本科人才培养优质教育工程项目管理规定（青农大校字〔2015〕113号）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9</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青岛农业大学学分制管理规定（青农大校字[2016]90号）</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2016.11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trPr>
        <w:tc>
          <w:tcPr>
            <w:tcW w:w="1973" w:type="dxa"/>
            <w:vMerge w:val="continue"/>
            <w:tcBorders/>
            <w:vAlign w:val="center"/>
          </w:tcPr>
          <w:p>
            <w:pPr>
              <w:spacing w:line="360" w:lineRule="auto"/>
              <w:jc w:val="center"/>
              <w:rPr>
                <w:rFonts w:ascii="Times New Roman" w:hAnsi="Times New Roman" w:eastAsia="仿宋_GB2312" w:cs="Times New Roman"/>
                <w:sz w:val="24"/>
                <w:szCs w:val="24"/>
              </w:rPr>
            </w:pPr>
          </w:p>
        </w:tc>
        <w:tc>
          <w:tcPr>
            <w:tcW w:w="708" w:type="dxa"/>
          </w:tcPr>
          <w:p>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10</w:t>
            </w:r>
          </w:p>
        </w:tc>
        <w:tc>
          <w:tcPr>
            <w:tcW w:w="4402" w:type="dxa"/>
            <w:gridSpan w:val="3"/>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 w:val="22"/>
              </w:rPr>
              <w:t>青岛农业大学关于修订本科专业人才培养方案的指导意见</w:t>
            </w:r>
          </w:p>
        </w:tc>
        <w:tc>
          <w:tcPr>
            <w:tcW w:w="1276" w:type="dxa"/>
            <w:gridSpan w:val="2"/>
            <w:vAlign w:val="top"/>
          </w:tcPr>
          <w:p>
            <w:pPr>
              <w:spacing w:line="360" w:lineRule="auto"/>
              <w:jc w:val="left"/>
              <w:rPr>
                <w:rFonts w:ascii="Times New Roman" w:hAnsi="Times New Roman" w:eastAsia="仿宋_GB2312" w:cs="Times New Roman"/>
                <w:sz w:val="24"/>
                <w:szCs w:val="24"/>
              </w:rPr>
            </w:pPr>
            <w:r>
              <w:rPr>
                <w:rFonts w:hint="eastAsia" w:ascii="Times New Roman" w:hAnsi="Times New Roman" w:eastAsia="仿宋_GB2312"/>
                <w:szCs w:val="21"/>
              </w:rPr>
              <w:t>201</w:t>
            </w:r>
            <w:r>
              <w:rPr>
                <w:rFonts w:ascii="Times New Roman" w:hAnsi="Times New Roman" w:eastAsia="仿宋_GB2312"/>
                <w:szCs w:val="21"/>
              </w:rPr>
              <w:t>7</w:t>
            </w:r>
            <w:r>
              <w:rPr>
                <w:rFonts w:hint="eastAsia" w:ascii="Times New Roman" w:hAnsi="Times New Roman" w:eastAsia="仿宋_GB2312"/>
                <w:szCs w:val="21"/>
              </w:rPr>
              <w:t>.2</w:t>
            </w:r>
          </w:p>
        </w:tc>
      </w:tr>
    </w:tbl>
    <w:p>
      <w:pPr>
        <w:rPr>
          <w:rFonts w:ascii="黑体" w:hAnsi="黑体" w:eastAsia="黑体" w:cs="Times New Roman"/>
          <w:bCs/>
          <w:sz w:val="32"/>
          <w:szCs w:val="32"/>
        </w:rPr>
      </w:pPr>
      <w:r>
        <w:rPr>
          <w:rFonts w:ascii="黑体" w:hAnsi="黑体" w:eastAsia="黑体" w:cs="Times New Roman"/>
          <w:sz w:val="36"/>
          <w:szCs w:val="36"/>
        </w:rPr>
        <w:br w:type="page"/>
      </w:r>
      <w:r>
        <w:rPr>
          <w:rFonts w:hint="eastAsia" w:ascii="黑体" w:hAnsi="黑体" w:eastAsia="黑体" w:cs="Times New Roman"/>
          <w:sz w:val="32"/>
          <w:szCs w:val="32"/>
        </w:rPr>
        <w:t>二、</w:t>
      </w:r>
      <w:r>
        <w:rPr>
          <w:rFonts w:hint="eastAsia" w:ascii="黑体" w:hAnsi="黑体" w:eastAsia="黑体" w:cs="Times New Roman"/>
          <w:bCs/>
          <w:sz w:val="32"/>
          <w:szCs w:val="32"/>
        </w:rPr>
        <w:t>报送专业情况</w:t>
      </w:r>
    </w:p>
    <w:p>
      <w:pPr>
        <w:rPr>
          <w:rFonts w:ascii="楷体" w:hAnsi="楷体" w:eastAsia="楷体" w:cs="Times New Roman"/>
          <w:b/>
          <w:sz w:val="32"/>
          <w:szCs w:val="32"/>
        </w:rPr>
      </w:pPr>
      <w:r>
        <w:rPr>
          <w:rFonts w:hint="eastAsia" w:ascii="楷体" w:hAnsi="楷体" w:eastAsia="楷体" w:cs="Times New Roman"/>
          <w:b/>
          <w:sz w:val="32"/>
          <w:szCs w:val="32"/>
        </w:rPr>
        <w:t>1.专业基本情况</w:t>
      </w:r>
    </w:p>
    <w:tbl>
      <w:tblPr>
        <w:tblStyle w:val="5"/>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1735"/>
        <w:gridCol w:w="2453"/>
        <w:gridCol w:w="1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专业名称</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专业代码</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修业年限</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学位授予门类</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w:t>
            </w:r>
            <w:r>
              <w:rPr>
                <w:rFonts w:ascii="Times New Roman" w:hAnsi="Times New Roman" w:eastAsia="仿宋_GB2312" w:cs="Times New Roman"/>
                <w:sz w:val="24"/>
                <w:szCs w:val="24"/>
              </w:rPr>
              <w:t>设立</w:t>
            </w:r>
            <w:r>
              <w:rPr>
                <w:rFonts w:hint="eastAsia" w:ascii="Times New Roman" w:hAnsi="Times New Roman" w:eastAsia="仿宋_GB2312" w:cs="Times New Roman"/>
                <w:sz w:val="24"/>
                <w:szCs w:val="24"/>
              </w:rPr>
              <w:t>时间</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所在院系名称</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2088"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专业总学分</w:t>
            </w:r>
          </w:p>
        </w:tc>
        <w:tc>
          <w:tcPr>
            <w:tcW w:w="1735" w:type="dxa"/>
            <w:vAlign w:val="center"/>
          </w:tcPr>
          <w:p>
            <w:pPr>
              <w:jc w:val="center"/>
              <w:rPr>
                <w:rFonts w:ascii="Times New Roman" w:hAnsi="Times New Roman" w:eastAsia="仿宋_GB2312" w:cs="Times New Roman"/>
                <w:sz w:val="24"/>
                <w:szCs w:val="24"/>
              </w:rPr>
            </w:pPr>
          </w:p>
        </w:tc>
        <w:tc>
          <w:tcPr>
            <w:tcW w:w="245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专业总学时</w:t>
            </w:r>
          </w:p>
        </w:tc>
        <w:tc>
          <w:tcPr>
            <w:tcW w:w="194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实践教学环节学分占总学分比例</w:t>
            </w:r>
          </w:p>
        </w:tc>
        <w:tc>
          <w:tcPr>
            <w:tcW w:w="4394" w:type="dxa"/>
            <w:gridSpan w:val="2"/>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trPr>
        <w:tc>
          <w:tcPr>
            <w:tcW w:w="3823" w:type="dxa"/>
            <w:gridSpan w:val="2"/>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本专业教授给本科生上课的比例</w:t>
            </w:r>
          </w:p>
        </w:tc>
        <w:tc>
          <w:tcPr>
            <w:tcW w:w="4394" w:type="dxa"/>
            <w:gridSpan w:val="2"/>
            <w:vAlign w:val="center"/>
          </w:tcPr>
          <w:p>
            <w:pPr>
              <w:jc w:val="center"/>
              <w:rPr>
                <w:rFonts w:ascii="Times New Roman" w:hAnsi="Times New Roman" w:eastAsia="仿宋_GB2312" w:cs="Times New Roman"/>
                <w:sz w:val="24"/>
                <w:szCs w:val="24"/>
              </w:rPr>
            </w:pPr>
          </w:p>
        </w:tc>
      </w:tr>
    </w:tbl>
    <w:p>
      <w:pPr>
        <w:rPr>
          <w:rFonts w:ascii="仿宋" w:hAnsi="仿宋" w:eastAsia="仿宋" w:cs="Times New Roman"/>
          <w:sz w:val="24"/>
          <w:szCs w:val="24"/>
        </w:rPr>
      </w:pPr>
      <w:r>
        <w:rPr>
          <w:rFonts w:ascii="仿宋" w:hAnsi="仿宋" w:eastAsia="仿宋" w:cs="Times New Roman"/>
          <w:sz w:val="24"/>
          <w:szCs w:val="24"/>
        </w:rPr>
        <w:t>注</w:t>
      </w:r>
      <w:r>
        <w:rPr>
          <w:rFonts w:hint="eastAsia" w:ascii="仿宋" w:hAnsi="仿宋" w:eastAsia="仿宋" w:cs="Times New Roman"/>
          <w:sz w:val="24"/>
          <w:szCs w:val="24"/>
        </w:rPr>
        <w:t>：以上数据填报口径为2</w:t>
      </w:r>
      <w:r>
        <w:rPr>
          <w:rFonts w:ascii="仿宋" w:hAnsi="仿宋" w:eastAsia="仿宋" w:cs="Times New Roman"/>
          <w:sz w:val="24"/>
          <w:szCs w:val="24"/>
        </w:rPr>
        <w:t>018</w:t>
      </w:r>
      <w:r>
        <w:rPr>
          <w:rFonts w:hint="eastAsia" w:ascii="仿宋" w:hAnsi="仿宋" w:eastAsia="仿宋" w:cs="Times New Roman"/>
          <w:sz w:val="24"/>
          <w:szCs w:val="24"/>
        </w:rPr>
        <w:t>-</w:t>
      </w:r>
      <w:r>
        <w:rPr>
          <w:rFonts w:ascii="仿宋" w:hAnsi="仿宋" w:eastAsia="仿宋" w:cs="Times New Roman"/>
          <w:sz w:val="24"/>
          <w:szCs w:val="24"/>
        </w:rPr>
        <w:t>2019学年数据</w:t>
      </w:r>
      <w:r>
        <w:rPr>
          <w:rFonts w:hint="eastAsia" w:ascii="仿宋" w:hAnsi="仿宋" w:eastAsia="仿宋" w:cs="Times New Roman"/>
          <w:sz w:val="24"/>
          <w:szCs w:val="24"/>
        </w:rPr>
        <w:t>。</w:t>
      </w:r>
    </w:p>
    <w:p>
      <w:pPr>
        <w:rPr>
          <w:rFonts w:ascii="楷体" w:hAnsi="楷体" w:eastAsia="楷体" w:cs="Times New Roman"/>
          <w:b/>
          <w:sz w:val="32"/>
          <w:szCs w:val="32"/>
        </w:rPr>
      </w:pPr>
      <w:r>
        <w:rPr>
          <w:rFonts w:hint="eastAsia" w:ascii="楷体" w:hAnsi="楷体" w:eastAsia="楷体" w:cs="Times New Roman"/>
          <w:b/>
          <w:sz w:val="32"/>
          <w:szCs w:val="32"/>
        </w:rPr>
        <w:t>2.专业负责人基本情况</w:t>
      </w:r>
    </w:p>
    <w:tbl>
      <w:tblPr>
        <w:tblStyle w:val="5"/>
        <w:tblW w:w="845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
        <w:gridCol w:w="1595"/>
        <w:gridCol w:w="1311"/>
        <w:gridCol w:w="727"/>
        <w:gridCol w:w="1747"/>
        <w:gridCol w:w="727"/>
        <w:gridCol w:w="806"/>
        <w:gridCol w:w="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restart"/>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姓名</w:t>
            </w:r>
          </w:p>
        </w:tc>
        <w:tc>
          <w:tcPr>
            <w:tcW w:w="1595" w:type="dxa"/>
            <w:vMerge w:val="restart"/>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性别</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专业技术职务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学历</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atLeast"/>
          <w:jc w:val="center"/>
        </w:trPr>
        <w:tc>
          <w:tcPr>
            <w:tcW w:w="733" w:type="dxa"/>
            <w:vMerge w:val="continue"/>
            <w:vAlign w:val="center"/>
          </w:tcPr>
          <w:p>
            <w:pPr>
              <w:jc w:val="center"/>
              <w:rPr>
                <w:rFonts w:ascii="Times New Roman" w:hAnsi="Times New Roman" w:eastAsia="仿宋_GB2312" w:cs="Times New Roman"/>
                <w:sz w:val="24"/>
                <w:szCs w:val="24"/>
              </w:rPr>
            </w:pPr>
          </w:p>
        </w:tc>
        <w:tc>
          <w:tcPr>
            <w:tcW w:w="1595" w:type="dxa"/>
            <w:vMerge w:val="continue"/>
            <w:vAlign w:val="center"/>
          </w:tcPr>
          <w:p>
            <w:pPr>
              <w:jc w:val="center"/>
              <w:rPr>
                <w:rFonts w:ascii="Times New Roman" w:hAnsi="Times New Roman" w:eastAsia="仿宋_GB2312" w:cs="Times New Roman"/>
                <w:sz w:val="24"/>
                <w:szCs w:val="24"/>
              </w:rPr>
            </w:pPr>
          </w:p>
        </w:tc>
        <w:tc>
          <w:tcPr>
            <w:tcW w:w="1311"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出生年月</w:t>
            </w:r>
          </w:p>
        </w:tc>
        <w:tc>
          <w:tcPr>
            <w:tcW w:w="727" w:type="dxa"/>
            <w:vAlign w:val="center"/>
          </w:tcPr>
          <w:p>
            <w:pPr>
              <w:jc w:val="center"/>
              <w:rPr>
                <w:rFonts w:ascii="Times New Roman" w:hAnsi="Times New Roman" w:eastAsia="仿宋_GB2312" w:cs="Times New Roman"/>
                <w:sz w:val="24"/>
                <w:szCs w:val="24"/>
              </w:rPr>
            </w:pPr>
          </w:p>
        </w:tc>
        <w:tc>
          <w:tcPr>
            <w:tcW w:w="1747" w:type="dxa"/>
            <w:vAlign w:val="center"/>
          </w:tcPr>
          <w:p>
            <w:pPr>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行政职务</w:t>
            </w:r>
          </w:p>
        </w:tc>
        <w:tc>
          <w:tcPr>
            <w:tcW w:w="727" w:type="dxa"/>
            <w:vAlign w:val="center"/>
          </w:tcPr>
          <w:p>
            <w:pPr>
              <w:jc w:val="center"/>
              <w:rPr>
                <w:rFonts w:ascii="Times New Roman" w:hAnsi="Times New Roman" w:eastAsia="仿宋_GB2312" w:cs="Times New Roman"/>
                <w:sz w:val="24"/>
                <w:szCs w:val="24"/>
              </w:rPr>
            </w:pPr>
          </w:p>
        </w:tc>
        <w:tc>
          <w:tcPr>
            <w:tcW w:w="806"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学位</w:t>
            </w:r>
          </w:p>
        </w:tc>
        <w:tc>
          <w:tcPr>
            <w:tcW w:w="804" w:type="dxa"/>
            <w:vAlign w:val="center"/>
          </w:tcPr>
          <w:p>
            <w:pPr>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73" w:hRule="atLeast"/>
          <w:jc w:val="center"/>
        </w:trPr>
        <w:tc>
          <w:tcPr>
            <w:tcW w:w="2328" w:type="dxa"/>
            <w:gridSpan w:val="2"/>
            <w:vAlign w:val="center"/>
          </w:tcPr>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研究方向和近三年</w:t>
            </w:r>
          </w:p>
          <w:p>
            <w:pPr>
              <w:spacing w:line="320" w:lineRule="exact"/>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主讲的本科课程</w:t>
            </w:r>
          </w:p>
        </w:tc>
        <w:tc>
          <w:tcPr>
            <w:tcW w:w="6122" w:type="dxa"/>
            <w:gridSpan w:val="6"/>
            <w:vAlign w:val="center"/>
          </w:tcPr>
          <w:p>
            <w:pPr>
              <w:jc w:val="left"/>
              <w:rPr>
                <w:rFonts w:ascii="Times New Roman" w:hAnsi="Times New Roman" w:eastAsia="仿宋_GB2312" w:cs="Times New Roman"/>
                <w:sz w:val="24"/>
                <w:szCs w:val="24"/>
              </w:rPr>
            </w:pPr>
          </w:p>
        </w:tc>
      </w:tr>
    </w:tbl>
    <w:p>
      <w:pPr>
        <w:rPr>
          <w:rFonts w:ascii="楷体" w:hAnsi="楷体" w:eastAsia="楷体" w:cs="宋体"/>
          <w:b/>
          <w:kern w:val="0"/>
          <w:sz w:val="32"/>
          <w:szCs w:val="32"/>
        </w:rPr>
      </w:pPr>
      <w:r>
        <w:rPr>
          <w:rFonts w:hint="eastAsia" w:ascii="楷体" w:hAnsi="楷体" w:eastAsia="楷体" w:cs="宋体"/>
          <w:b/>
          <w:kern w:val="0"/>
          <w:sz w:val="32"/>
          <w:szCs w:val="32"/>
        </w:rPr>
        <w:t>3.近</w:t>
      </w:r>
      <w:r>
        <w:rPr>
          <w:rFonts w:ascii="楷体" w:hAnsi="楷体" w:eastAsia="楷体" w:cs="宋体"/>
          <w:b/>
          <w:kern w:val="0"/>
          <w:sz w:val="32"/>
          <w:szCs w:val="32"/>
        </w:rPr>
        <w:t>3</w:t>
      </w:r>
      <w:r>
        <w:rPr>
          <w:rFonts w:hint="eastAsia" w:ascii="楷体" w:hAnsi="楷体" w:eastAsia="楷体" w:cs="宋体"/>
          <w:b/>
          <w:kern w:val="0"/>
          <w:sz w:val="32"/>
          <w:szCs w:val="32"/>
        </w:rPr>
        <w:t>年本专业毕业生就业（升学）情况</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319"/>
        <w:gridCol w:w="1583"/>
        <w:gridCol w:w="1583"/>
        <w:gridCol w:w="1319"/>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年份</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毕业生</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境内升学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583"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境外升学</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c>
          <w:tcPr>
            <w:tcW w:w="1319" w:type="dxa"/>
            <w:shd w:val="clear" w:color="auto" w:fill="auto"/>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就业人数</w:t>
            </w:r>
          </w:p>
        </w:tc>
        <w:tc>
          <w:tcPr>
            <w:tcW w:w="1621"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自主创业</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2018年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2017年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7" w:type="dxa"/>
            <w:shd w:val="clear" w:color="auto" w:fill="auto"/>
            <w:noWrap/>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2016年</w:t>
            </w:r>
          </w:p>
        </w:tc>
        <w:tc>
          <w:tcPr>
            <w:tcW w:w="1319" w:type="dxa"/>
            <w:shd w:val="clear" w:color="auto" w:fill="auto"/>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583" w:type="dxa"/>
            <w:shd w:val="clear" w:color="auto" w:fill="auto"/>
            <w:noWrap/>
            <w:vAlign w:val="center"/>
          </w:tcPr>
          <w:p>
            <w:pPr>
              <w:jc w:val="center"/>
              <w:rPr>
                <w:rFonts w:ascii="Times New Roman" w:hAnsi="Times New Roman" w:eastAsia="仿宋_GB2312" w:cs="Times New Roman"/>
                <w:sz w:val="24"/>
                <w:szCs w:val="24"/>
              </w:rPr>
            </w:pPr>
          </w:p>
        </w:tc>
        <w:tc>
          <w:tcPr>
            <w:tcW w:w="1319" w:type="dxa"/>
            <w:shd w:val="clear" w:color="auto" w:fill="auto"/>
            <w:noWrap/>
            <w:vAlign w:val="center"/>
          </w:tcPr>
          <w:p>
            <w:pPr>
              <w:jc w:val="center"/>
              <w:rPr>
                <w:rFonts w:ascii="Times New Roman" w:hAnsi="Times New Roman" w:eastAsia="仿宋_GB2312" w:cs="Times New Roman"/>
                <w:sz w:val="24"/>
                <w:szCs w:val="24"/>
              </w:rPr>
            </w:pPr>
          </w:p>
        </w:tc>
        <w:tc>
          <w:tcPr>
            <w:tcW w:w="1621" w:type="dxa"/>
            <w:vAlign w:val="center"/>
          </w:tcPr>
          <w:p>
            <w:pPr>
              <w:jc w:val="center"/>
              <w:rPr>
                <w:rFonts w:ascii="Times New Roman" w:hAnsi="Times New Roman" w:eastAsia="仿宋_GB2312" w:cs="Times New Roman"/>
                <w:sz w:val="24"/>
                <w:szCs w:val="24"/>
              </w:rPr>
            </w:pPr>
          </w:p>
        </w:tc>
      </w:tr>
    </w:tbl>
    <w:p>
      <w:pPr>
        <w:jc w:val="left"/>
        <w:rPr>
          <w:rFonts w:ascii="Times New Roman" w:hAnsi="Times New Roman" w:eastAsia="宋体" w:cs="Times New Roman"/>
          <w:szCs w:val="24"/>
        </w:rPr>
      </w:pPr>
      <w:r>
        <w:rPr>
          <w:rFonts w:ascii="楷体" w:hAnsi="楷体" w:eastAsia="楷体" w:cs="宋体"/>
          <w:b/>
          <w:kern w:val="0"/>
          <w:sz w:val="32"/>
          <w:szCs w:val="32"/>
        </w:rPr>
        <w:t>4.</w:t>
      </w:r>
      <w:r>
        <w:rPr>
          <w:rFonts w:hint="eastAsia" w:ascii="楷体" w:hAnsi="楷体" w:eastAsia="楷体" w:cs="宋体"/>
          <w:b/>
          <w:kern w:val="0"/>
          <w:sz w:val="32"/>
          <w:szCs w:val="32"/>
        </w:rPr>
        <w:t>近</w:t>
      </w:r>
      <w:r>
        <w:rPr>
          <w:rFonts w:ascii="楷体" w:hAnsi="楷体" w:eastAsia="楷体" w:cs="宋体"/>
          <w:b/>
          <w:kern w:val="0"/>
          <w:sz w:val="32"/>
          <w:szCs w:val="32"/>
        </w:rPr>
        <w:t>3</w:t>
      </w:r>
      <w:r>
        <w:rPr>
          <w:rFonts w:hint="eastAsia" w:ascii="楷体" w:hAnsi="楷体" w:eastAsia="楷体" w:cs="宋体"/>
          <w:b/>
          <w:kern w:val="0"/>
          <w:sz w:val="32"/>
          <w:szCs w:val="32"/>
        </w:rPr>
        <w:t>年本专业</w:t>
      </w:r>
      <w:r>
        <w:rPr>
          <w:rFonts w:hint="eastAsia" w:ascii="楷体" w:hAnsi="楷体" w:eastAsia="楷体" w:cs="Times New Roman"/>
          <w:b/>
          <w:sz w:val="32"/>
          <w:szCs w:val="32"/>
        </w:rPr>
        <w:t>获省部级及以上奖励和支持情况</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827"/>
        <w:gridCol w:w="1207"/>
        <w:gridCol w:w="1723"/>
        <w:gridCol w:w="850"/>
        <w:gridCol w:w="785"/>
        <w:gridCol w:w="12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类别</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120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项目名称</w:t>
            </w:r>
          </w:p>
        </w:tc>
        <w:tc>
          <w:tcPr>
            <w:tcW w:w="1723"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所获奖励或支持名称</w:t>
            </w:r>
          </w:p>
        </w:tc>
        <w:tc>
          <w:tcPr>
            <w:tcW w:w="850"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时间</w:t>
            </w:r>
          </w:p>
        </w:tc>
        <w:tc>
          <w:tcPr>
            <w:tcW w:w="785"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等级</w:t>
            </w:r>
          </w:p>
        </w:tc>
        <w:tc>
          <w:tcPr>
            <w:tcW w:w="1279"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授予部门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教学成果奖</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教学名师与</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教学团队</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专业建设</w:t>
            </w: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widowControl/>
              <w:spacing w:before="100" w:beforeAutospacing="1" w:after="100" w:afterAutospacing="1" w:line="360" w:lineRule="atLeas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1723" w:type="dxa"/>
            <w:vAlign w:val="center"/>
          </w:tcPr>
          <w:p>
            <w:pPr>
              <w:widowControl/>
              <w:spacing w:before="100" w:beforeAutospacing="1" w:after="100" w:afterAutospacing="1" w:line="360" w:lineRule="atLeast"/>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课程与教材</w:t>
            </w: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spacing w:before="62" w:beforeLines="20" w:after="62" w:afterLines="2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62" w:beforeLines="20" w:after="62" w:afterLines="20"/>
              <w:rPr>
                <w:rFonts w:ascii="Times New Roman" w:hAnsi="Times New Roman" w:eastAsia="仿宋_GB2312" w:cs="Times New Roman"/>
                <w:sz w:val="24"/>
                <w:szCs w:val="24"/>
              </w:rPr>
            </w:pPr>
          </w:p>
        </w:tc>
        <w:tc>
          <w:tcPr>
            <w:tcW w:w="1723" w:type="dxa"/>
            <w:vAlign w:val="center"/>
          </w:tcPr>
          <w:p>
            <w:pPr>
              <w:spacing w:before="62" w:beforeLines="20" w:after="62" w:afterLines="2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实验和实践</w:t>
            </w:r>
          </w:p>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教学平台</w:t>
            </w: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教学改革项目</w:t>
            </w: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jc w:val="center"/>
              <w:rPr>
                <w:rFonts w:ascii="Times New Roman" w:hAnsi="Times New Roman" w:eastAsia="仿宋_GB2312" w:cs="Times New Roman"/>
                <w:sz w:val="24"/>
                <w:szCs w:val="24"/>
              </w:rPr>
            </w:pPr>
          </w:p>
        </w:tc>
        <w:tc>
          <w:tcPr>
            <w:tcW w:w="827" w:type="dxa"/>
            <w:vAlign w:val="center"/>
          </w:tcPr>
          <w:p>
            <w:pPr>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rPr>
                <w:rFonts w:ascii="Times New Roman" w:hAnsi="Times New Roman" w:eastAsia="仿宋_GB2312" w:cs="Times New Roman"/>
                <w:sz w:val="24"/>
                <w:szCs w:val="24"/>
              </w:rPr>
            </w:pPr>
          </w:p>
        </w:tc>
        <w:tc>
          <w:tcPr>
            <w:tcW w:w="1723" w:type="dxa"/>
            <w:vAlign w:val="center"/>
          </w:tcPr>
          <w:p>
            <w:pPr>
              <w:rPr>
                <w:rFonts w:ascii="Times New Roman" w:hAnsi="Times New Roman" w:eastAsia="仿宋_GB2312" w:cs="Times New Roman"/>
                <w:sz w:val="24"/>
                <w:szCs w:val="24"/>
              </w:rPr>
            </w:pPr>
          </w:p>
        </w:tc>
        <w:tc>
          <w:tcPr>
            <w:tcW w:w="850" w:type="dxa"/>
            <w:vAlign w:val="center"/>
          </w:tcPr>
          <w:p>
            <w:pPr>
              <w:jc w:val="center"/>
              <w:rPr>
                <w:rFonts w:ascii="Times New Roman" w:hAnsi="Times New Roman" w:eastAsia="仿宋_GB2312" w:cs="Times New Roman"/>
                <w:sz w:val="24"/>
                <w:szCs w:val="24"/>
              </w:rPr>
            </w:pPr>
          </w:p>
        </w:tc>
        <w:tc>
          <w:tcPr>
            <w:tcW w:w="785" w:type="dxa"/>
            <w:vAlign w:val="center"/>
          </w:tcPr>
          <w:p>
            <w:pPr>
              <w:jc w:val="center"/>
              <w:rPr>
                <w:rFonts w:ascii="Times New Roman" w:hAnsi="Times New Roman" w:eastAsia="仿宋_GB2312" w:cs="Times New Roman"/>
                <w:sz w:val="24"/>
                <w:szCs w:val="24"/>
              </w:rPr>
            </w:pPr>
          </w:p>
        </w:tc>
        <w:tc>
          <w:tcPr>
            <w:tcW w:w="1279" w:type="dxa"/>
            <w:vAlign w:val="center"/>
          </w:tcPr>
          <w:p>
            <w:pPr>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restart"/>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其他</w:t>
            </w:r>
          </w:p>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（限5</w:t>
            </w:r>
            <w:r>
              <w:rPr>
                <w:rFonts w:ascii="Times New Roman" w:hAnsi="Times New Roman" w:eastAsia="仿宋_GB2312" w:cs="Times New Roman"/>
                <w:sz w:val="24"/>
                <w:szCs w:val="24"/>
              </w:rPr>
              <w:t>0</w:t>
            </w:r>
            <w:r>
              <w:rPr>
                <w:rFonts w:hint="eastAsia" w:ascii="Times New Roman" w:hAnsi="Times New Roman" w:eastAsia="仿宋_GB2312" w:cs="Times New Roman"/>
                <w:sz w:val="24"/>
                <w:szCs w:val="24"/>
              </w:rPr>
              <w:t>项）</w:t>
            </w: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trPr>
        <w:tc>
          <w:tcPr>
            <w:tcW w:w="1625" w:type="dxa"/>
            <w:vMerge w:val="continue"/>
            <w:vAlign w:val="center"/>
          </w:tcPr>
          <w:p>
            <w:pPr>
              <w:spacing w:before="93" w:beforeLines="30" w:after="93" w:afterLines="30"/>
              <w:rPr>
                <w:rFonts w:ascii="Times New Roman" w:hAnsi="Times New Roman" w:eastAsia="仿宋_GB2312" w:cs="Times New Roman"/>
                <w:sz w:val="24"/>
                <w:szCs w:val="24"/>
              </w:rPr>
            </w:pPr>
          </w:p>
        </w:tc>
        <w:tc>
          <w:tcPr>
            <w:tcW w:w="827" w:type="dxa"/>
            <w:vAlign w:val="center"/>
          </w:tcPr>
          <w:p>
            <w:pPr>
              <w:spacing w:before="93" w:beforeLines="30" w:after="93" w:afterLines="30"/>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207" w:type="dxa"/>
            <w:vAlign w:val="center"/>
          </w:tcPr>
          <w:p>
            <w:pPr>
              <w:spacing w:before="93" w:beforeLines="30" w:after="93" w:afterLines="30"/>
              <w:rPr>
                <w:rFonts w:ascii="Times New Roman" w:hAnsi="Times New Roman" w:eastAsia="仿宋_GB2312" w:cs="Times New Roman"/>
                <w:sz w:val="24"/>
                <w:szCs w:val="24"/>
              </w:rPr>
            </w:pPr>
          </w:p>
        </w:tc>
        <w:tc>
          <w:tcPr>
            <w:tcW w:w="1723" w:type="dxa"/>
            <w:vAlign w:val="center"/>
          </w:tcPr>
          <w:p>
            <w:pPr>
              <w:spacing w:before="93" w:beforeLines="30" w:after="93" w:afterLines="30"/>
              <w:rPr>
                <w:rFonts w:ascii="Times New Roman" w:hAnsi="Times New Roman" w:eastAsia="仿宋_GB2312" w:cs="Times New Roman"/>
                <w:sz w:val="24"/>
                <w:szCs w:val="24"/>
              </w:rPr>
            </w:pPr>
          </w:p>
        </w:tc>
        <w:tc>
          <w:tcPr>
            <w:tcW w:w="850" w:type="dxa"/>
            <w:vAlign w:val="center"/>
          </w:tcPr>
          <w:p>
            <w:pPr>
              <w:spacing w:before="93" w:beforeLines="30" w:after="93" w:afterLines="30"/>
              <w:rPr>
                <w:rFonts w:ascii="Times New Roman" w:hAnsi="Times New Roman" w:eastAsia="仿宋_GB2312" w:cs="Times New Roman"/>
                <w:sz w:val="24"/>
                <w:szCs w:val="24"/>
              </w:rPr>
            </w:pPr>
          </w:p>
        </w:tc>
        <w:tc>
          <w:tcPr>
            <w:tcW w:w="785" w:type="dxa"/>
            <w:vAlign w:val="center"/>
          </w:tcPr>
          <w:p>
            <w:pPr>
              <w:spacing w:before="93" w:beforeLines="30" w:after="93" w:afterLines="30"/>
              <w:rPr>
                <w:rFonts w:ascii="Times New Roman" w:hAnsi="Times New Roman" w:eastAsia="仿宋_GB2312" w:cs="Times New Roman"/>
                <w:sz w:val="24"/>
                <w:szCs w:val="24"/>
              </w:rPr>
            </w:pPr>
          </w:p>
        </w:tc>
        <w:tc>
          <w:tcPr>
            <w:tcW w:w="1279" w:type="dxa"/>
            <w:vAlign w:val="center"/>
          </w:tcPr>
          <w:p>
            <w:pPr>
              <w:spacing w:before="93" w:beforeLines="30" w:after="93" w:afterLines="30"/>
              <w:rPr>
                <w:rFonts w:ascii="Times New Roman" w:hAnsi="Times New Roman" w:eastAsia="仿宋_GB2312" w:cs="Times New Roman"/>
                <w:sz w:val="24"/>
                <w:szCs w:val="24"/>
              </w:rPr>
            </w:pPr>
          </w:p>
        </w:tc>
      </w:tr>
    </w:tbl>
    <w:p>
      <w:pPr>
        <w:widowControl/>
        <w:tabs>
          <w:tab w:val="left" w:pos="1013"/>
        </w:tabs>
        <w:ind w:right="-197" w:rightChars="-94"/>
        <w:jc w:val="left"/>
        <w:rPr>
          <w:rFonts w:ascii="Times New Roman" w:hAnsi="Times New Roman" w:eastAsia="宋体" w:cs="Times New Roman"/>
          <w:szCs w:val="24"/>
        </w:rPr>
      </w:pPr>
    </w:p>
    <w:p>
      <w:pPr>
        <w:widowControl/>
        <w:tabs>
          <w:tab w:val="left" w:pos="1013"/>
        </w:tabs>
        <w:ind w:right="-197" w:rightChars="-94"/>
        <w:jc w:val="left"/>
        <w:rPr>
          <w:rFonts w:ascii="Times New Roman" w:hAnsi="Times New Roman" w:eastAsia="宋体" w:cs="Times New Roman"/>
          <w:szCs w:val="24"/>
        </w:rPr>
      </w:pPr>
      <w:r>
        <w:rPr>
          <w:rFonts w:hint="eastAsia" w:ascii="Times New Roman" w:hAnsi="Times New Roman" w:eastAsia="宋体" w:cs="Times New Roman"/>
          <w:szCs w:val="24"/>
        </w:rPr>
        <w:t>注：1</w:t>
      </w:r>
      <w:r>
        <w:rPr>
          <w:rFonts w:ascii="Times New Roman" w:hAnsi="Times New Roman" w:eastAsia="宋体" w:cs="Times New Roman"/>
          <w:szCs w:val="24"/>
        </w:rPr>
        <w:t>.专业建设指本专业获得省部级</w:t>
      </w:r>
      <w:r>
        <w:rPr>
          <w:rFonts w:hint="eastAsia" w:ascii="Times New Roman" w:hAnsi="Times New Roman" w:eastAsia="宋体" w:cs="Times New Roman"/>
          <w:szCs w:val="24"/>
        </w:rPr>
        <w:t>特色专业、品牌专业、一流专业等建设项目支持情况。</w:t>
      </w:r>
    </w:p>
    <w:p>
      <w:pPr>
        <w:widowControl/>
        <w:tabs>
          <w:tab w:val="left" w:pos="1013"/>
        </w:tabs>
        <w:jc w:val="left"/>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2.其他指本专业教师和学生获得的省部级及以上教育教学奖励和支持情况</w:t>
      </w:r>
      <w:r>
        <w:rPr>
          <w:rFonts w:hint="eastAsia" w:ascii="Times New Roman" w:hAnsi="Times New Roman" w:eastAsia="宋体" w:cs="Times New Roman"/>
          <w:szCs w:val="24"/>
        </w:rPr>
        <w:t>。</w:t>
      </w:r>
    </w:p>
    <w:p>
      <w:pPr>
        <w:widowControl/>
        <w:jc w:val="left"/>
        <w:rPr>
          <w:rFonts w:ascii="楷体" w:hAnsi="楷体" w:eastAsia="楷体" w:cs="宋体"/>
          <w:b/>
          <w:kern w:val="0"/>
          <w:sz w:val="32"/>
          <w:szCs w:val="32"/>
        </w:rPr>
      </w:pPr>
      <w:r>
        <w:rPr>
          <w:rFonts w:ascii="Times New Roman" w:hAnsi="Times New Roman" w:eastAsia="宋体" w:cs="Times New Roman"/>
          <w:szCs w:val="24"/>
        </w:rPr>
        <w:br w:type="page"/>
      </w:r>
      <w:r>
        <w:rPr>
          <w:rFonts w:hint="eastAsia" w:ascii="楷体" w:hAnsi="楷体" w:eastAsia="楷体" w:cs="宋体"/>
          <w:b/>
          <w:kern w:val="0"/>
          <w:sz w:val="32"/>
          <w:szCs w:val="32"/>
        </w:rPr>
        <w:t>5</w:t>
      </w:r>
      <w:r>
        <w:rPr>
          <w:rFonts w:ascii="楷体" w:hAnsi="楷体" w:eastAsia="楷体" w:cs="宋体"/>
          <w:b/>
          <w:kern w:val="0"/>
          <w:sz w:val="32"/>
          <w:szCs w:val="32"/>
        </w:rPr>
        <w:t>.专业定位</w:t>
      </w:r>
      <w:r>
        <w:rPr>
          <w:rFonts w:hint="eastAsia" w:ascii="楷体" w:hAnsi="楷体" w:eastAsia="楷体" w:cs="宋体"/>
          <w:b/>
          <w:kern w:val="0"/>
          <w:sz w:val="32"/>
          <w:szCs w:val="32"/>
        </w:rPr>
        <w:t>、</w:t>
      </w:r>
      <w:r>
        <w:rPr>
          <w:rFonts w:ascii="楷体" w:hAnsi="楷体" w:eastAsia="楷体" w:cs="宋体"/>
          <w:b/>
          <w:kern w:val="0"/>
          <w:sz w:val="32"/>
          <w:szCs w:val="32"/>
        </w:rPr>
        <w:t>历史沿革和特色优势</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296" w:type="dxa"/>
          </w:tcPr>
          <w:p>
            <w:pPr>
              <w:spacing w:line="0" w:lineRule="atLeast"/>
              <w:jc w:val="left"/>
              <w:rPr>
                <w:rFonts w:ascii="仿宋" w:hAnsi="仿宋" w:eastAsia="仿宋" w:cs="Times New Roman"/>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hint="eastAsia" w:ascii="楷体" w:hAnsi="楷体" w:eastAsia="楷体" w:cs="宋体"/>
          <w:b/>
          <w:kern w:val="0"/>
          <w:sz w:val="32"/>
          <w:szCs w:val="32"/>
        </w:rPr>
        <w:t>6</w:t>
      </w:r>
      <w:r>
        <w:rPr>
          <w:rFonts w:ascii="楷体" w:hAnsi="楷体" w:eastAsia="楷体" w:cs="宋体"/>
          <w:b/>
          <w:kern w:val="0"/>
          <w:sz w:val="32"/>
          <w:szCs w:val="32"/>
        </w:rPr>
        <w:t>.深化专业</w:t>
      </w:r>
      <w:r>
        <w:rPr>
          <w:rFonts w:hint="eastAsia" w:ascii="楷体" w:hAnsi="楷体" w:eastAsia="楷体" w:cs="宋体"/>
          <w:b/>
          <w:kern w:val="0"/>
          <w:sz w:val="32"/>
          <w:szCs w:val="32"/>
        </w:rPr>
        <w:t>综合</w:t>
      </w:r>
      <w:r>
        <w:rPr>
          <w:rFonts w:ascii="楷体" w:hAnsi="楷体" w:eastAsia="楷体" w:cs="宋体"/>
          <w:b/>
          <w:kern w:val="0"/>
          <w:sz w:val="32"/>
          <w:szCs w:val="32"/>
        </w:rPr>
        <w:t>改革的主要</w:t>
      </w:r>
      <w:r>
        <w:rPr>
          <w:rFonts w:hint="eastAsia" w:ascii="楷体" w:hAnsi="楷体" w:eastAsia="楷体" w:cs="宋体"/>
          <w:b/>
          <w:kern w:val="0"/>
          <w:sz w:val="32"/>
          <w:szCs w:val="32"/>
        </w:rPr>
        <w:t>举措和成效</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296"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1000字以内</w:t>
            </w:r>
            <w:r>
              <w:rPr>
                <w:rFonts w:hint="eastAsia" w:ascii="仿宋" w:hAnsi="仿宋" w:eastAsia="仿宋" w:cs="Times New Roman"/>
                <w:bCs/>
                <w:szCs w:val="21"/>
              </w:rPr>
              <w:t>）</w:t>
            </w:r>
          </w:p>
        </w:tc>
      </w:tr>
    </w:tbl>
    <w:p>
      <w:pPr>
        <w:widowControl/>
        <w:jc w:val="left"/>
        <w:rPr>
          <w:rFonts w:ascii="楷体" w:hAnsi="楷体" w:eastAsia="楷体" w:cs="宋体"/>
          <w:b/>
          <w:kern w:val="0"/>
          <w:sz w:val="32"/>
          <w:szCs w:val="32"/>
        </w:rPr>
      </w:pPr>
      <w:r>
        <w:rPr>
          <w:rFonts w:ascii="楷体" w:hAnsi="楷体" w:eastAsia="楷体" w:cs="宋体"/>
          <w:b/>
          <w:kern w:val="0"/>
          <w:sz w:val="32"/>
          <w:szCs w:val="32"/>
        </w:rPr>
        <w:br w:type="page"/>
      </w:r>
      <w:r>
        <w:rPr>
          <w:rFonts w:hint="eastAsia" w:ascii="楷体" w:hAnsi="楷体" w:eastAsia="楷体" w:cs="宋体"/>
          <w:b/>
          <w:kern w:val="0"/>
          <w:sz w:val="32"/>
          <w:szCs w:val="32"/>
        </w:rPr>
        <w:t>7</w:t>
      </w:r>
      <w:r>
        <w:rPr>
          <w:rFonts w:ascii="楷体" w:hAnsi="楷体" w:eastAsia="楷体" w:cs="宋体"/>
          <w:b/>
          <w:kern w:val="0"/>
          <w:sz w:val="32"/>
          <w:szCs w:val="32"/>
        </w:rPr>
        <w:t>.加强师资队伍和基层教学组织建设的主要举措及成效</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楷体" w:hAnsi="楷体" w:eastAsia="楷体" w:cs="宋体"/>
          <w:b/>
          <w:kern w:val="0"/>
          <w:sz w:val="32"/>
          <w:szCs w:val="32"/>
        </w:rPr>
      </w:pPr>
      <w:r>
        <w:rPr>
          <w:rFonts w:hint="eastAsia" w:ascii="楷体" w:hAnsi="楷体" w:eastAsia="楷体" w:cs="宋体"/>
          <w:b/>
          <w:kern w:val="0"/>
          <w:sz w:val="32"/>
          <w:szCs w:val="32"/>
        </w:rPr>
        <w:t>8.加强专业教学质量保障体系建设的主要举措和成效</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ascii="楷体" w:hAnsi="楷体" w:eastAsia="楷体" w:cs="宋体"/>
          <w:b/>
          <w:kern w:val="0"/>
          <w:sz w:val="32"/>
          <w:szCs w:val="32"/>
        </w:rPr>
        <w:br w:type="page"/>
      </w:r>
      <w:r>
        <w:rPr>
          <w:rFonts w:hint="eastAsia" w:ascii="楷体" w:hAnsi="楷体" w:eastAsia="楷体" w:cs="宋体"/>
          <w:b/>
          <w:kern w:val="0"/>
          <w:sz w:val="32"/>
          <w:szCs w:val="32"/>
        </w:rPr>
        <w:t>9</w:t>
      </w:r>
      <w:r>
        <w:rPr>
          <w:rFonts w:ascii="楷体" w:hAnsi="楷体" w:eastAsia="楷体" w:cs="宋体"/>
          <w:b/>
          <w:kern w:val="0"/>
          <w:sz w:val="32"/>
          <w:szCs w:val="32"/>
        </w:rPr>
        <w:t>.毕业生培养质量的跟踪调查结果和外部评价</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6" w:hRule="atLeast"/>
        </w:trPr>
        <w:tc>
          <w:tcPr>
            <w:tcW w:w="8522" w:type="dxa"/>
          </w:tcPr>
          <w:p>
            <w:pPr>
              <w:spacing w:line="0" w:lineRule="atLeast"/>
              <w:jc w:val="left"/>
              <w:rPr>
                <w:rFonts w:ascii="方正小标宋_GBK" w:hAnsi="Times New Roman" w:eastAsia="仿宋_GB2312" w:cs="Times New Roman"/>
                <w:b/>
                <w:bCs/>
                <w:szCs w:val="21"/>
              </w:rPr>
            </w:pPr>
            <w:r>
              <w:rPr>
                <w:rFonts w:hint="eastAsia" w:ascii="仿宋" w:hAnsi="仿宋" w:eastAsia="仿宋" w:cs="Times New Roman"/>
                <w:bCs/>
                <w:szCs w:val="21"/>
              </w:rPr>
              <w:t>（限</w:t>
            </w:r>
            <w:r>
              <w:rPr>
                <w:rFonts w:ascii="仿宋" w:hAnsi="仿宋" w:eastAsia="仿宋" w:cs="Times New Roman"/>
                <w:bCs/>
                <w:szCs w:val="21"/>
              </w:rPr>
              <w:t>500字以内</w:t>
            </w:r>
            <w:r>
              <w:rPr>
                <w:rFonts w:hint="eastAsia" w:ascii="仿宋" w:hAnsi="仿宋" w:eastAsia="仿宋" w:cs="Times New Roman"/>
                <w:bCs/>
                <w:szCs w:val="21"/>
              </w:rPr>
              <w:t>）</w:t>
            </w:r>
          </w:p>
        </w:tc>
      </w:tr>
    </w:tbl>
    <w:p>
      <w:pPr>
        <w:rPr>
          <w:rFonts w:ascii="黑体" w:hAnsi="黑体" w:eastAsia="黑体" w:cs="Times New Roman"/>
          <w:sz w:val="36"/>
          <w:szCs w:val="36"/>
        </w:rPr>
      </w:pPr>
      <w:r>
        <w:rPr>
          <w:rFonts w:hint="eastAsia" w:ascii="黑体" w:hAnsi="黑体" w:eastAsia="黑体" w:cs="宋体"/>
          <w:b/>
          <w:kern w:val="0"/>
          <w:sz w:val="32"/>
          <w:szCs w:val="32"/>
        </w:rPr>
        <w:t>三、</w:t>
      </w:r>
      <w:r>
        <w:rPr>
          <w:rFonts w:ascii="黑体" w:hAnsi="黑体" w:eastAsia="黑体" w:cs="宋体"/>
          <w:b/>
          <w:kern w:val="0"/>
          <w:sz w:val="32"/>
          <w:szCs w:val="32"/>
        </w:rPr>
        <w:t>下一步推进专业建设和改革的主要思路</w:t>
      </w:r>
      <w:r>
        <w:rPr>
          <w:rFonts w:hint="eastAsia" w:ascii="黑体" w:hAnsi="黑体" w:eastAsia="黑体" w:cs="宋体"/>
          <w:b/>
          <w:kern w:val="0"/>
          <w:sz w:val="32"/>
          <w:szCs w:val="32"/>
        </w:rPr>
        <w:t>及</w:t>
      </w:r>
      <w:r>
        <w:rPr>
          <w:rFonts w:ascii="黑体" w:hAnsi="黑体" w:eastAsia="黑体" w:cs="宋体"/>
          <w:b/>
          <w:kern w:val="0"/>
          <w:sz w:val="32"/>
          <w:szCs w:val="32"/>
        </w:rPr>
        <w:t>举措</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9" w:hRule="atLeast"/>
        </w:trPr>
        <w:tc>
          <w:tcPr>
            <w:tcW w:w="8522" w:type="dxa"/>
          </w:tcPr>
          <w:p>
            <w:pPr>
              <w:spacing w:line="0" w:lineRule="atLeast"/>
              <w:jc w:val="left"/>
              <w:rPr>
                <w:rFonts w:ascii="方正小标宋_GBK" w:hAnsi="Times New Roman" w:eastAsia="仿宋_GB2312" w:cs="Times New Roman"/>
                <w:b/>
                <w:bCs/>
                <w:szCs w:val="21"/>
              </w:rPr>
            </w:pPr>
            <w:bookmarkStart w:id="1" w:name="_Hlk2001382"/>
            <w:r>
              <w:rPr>
                <w:rFonts w:hint="eastAsia" w:ascii="仿宋" w:hAnsi="仿宋" w:eastAsia="仿宋" w:cs="Times New Roman"/>
                <w:bCs/>
                <w:szCs w:val="21"/>
              </w:rPr>
              <w:t>（限</w:t>
            </w:r>
            <w:r>
              <w:rPr>
                <w:rFonts w:ascii="仿宋" w:hAnsi="仿宋" w:eastAsia="仿宋" w:cs="Times New Roman"/>
                <w:bCs/>
                <w:szCs w:val="21"/>
              </w:rPr>
              <w:t>800字以内</w:t>
            </w:r>
            <w:r>
              <w:rPr>
                <w:rFonts w:hint="eastAsia" w:ascii="仿宋" w:hAnsi="仿宋" w:eastAsia="仿宋" w:cs="Times New Roman"/>
                <w:bCs/>
                <w:szCs w:val="21"/>
              </w:rPr>
              <w:t>）</w:t>
            </w:r>
          </w:p>
        </w:tc>
      </w:tr>
      <w:bookmarkEnd w:id="1"/>
    </w:tbl>
    <w:p>
      <w:pPr>
        <w:spacing w:line="20" w:lineRule="exact"/>
        <w:rPr>
          <w:rFonts w:ascii="仿宋_GB2312" w:hAnsi="Calibri" w:eastAsia="仿宋_GB2312" w:cs="经典平黑简"/>
          <w:sz w:val="10"/>
          <w:szCs w:val="1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经典平黑简">
    <w:altName w:val="黑体"/>
    <w:panose1 w:val="00000000000000000000"/>
    <w:charset w:val="86"/>
    <w:family w:val="modern"/>
    <w:pitch w:val="default"/>
    <w:sig w:usb0="00000000" w:usb1="00000000" w:usb2="0000001E"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2282558"/>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55"/>
    <w:rsid w:val="009E5C53"/>
    <w:rsid w:val="00BD1F55"/>
    <w:rsid w:val="1D192359"/>
    <w:rsid w:val="2F8F39CB"/>
    <w:rsid w:val="75633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6">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9</Pages>
  <Words>274</Words>
  <Characters>1563</Characters>
  <Lines>13</Lines>
  <Paragraphs>3</Paragraphs>
  <TotalTime>1</TotalTime>
  <ScaleCrop>false</ScaleCrop>
  <LinksUpToDate>false</LinksUpToDate>
  <CharactersWithSpaces>1834</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2019-04-09T07:43:00Z</dcterms:created>
  <dc:creator>USER</dc:creator>
  <cp:lastModifiedBy>简爱</cp:lastModifiedBy>
  <dcterms:modified xsi:type="dcterms:W3CDTF">2020-03-25T02:42:45Z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