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b/>
          <w:sz w:val="32"/>
          <w:szCs w:val="32"/>
        </w:rPr>
        <w:t>年转专业申请情况汇总</w:t>
      </w:r>
    </w:p>
    <w:tbl>
      <w:tblPr>
        <w:tblW w:w="5122" w:type="pct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453"/>
        <w:gridCol w:w="4326"/>
        <w:gridCol w:w="1008"/>
        <w:gridCol w:w="984"/>
        <w:gridCol w:w="747"/>
        <w:gridCol w:w="66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4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转出人数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转入人数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专业前5%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动漫与传媒学院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动漫与传媒学院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动画(二维动画)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动漫与传媒学院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动画(三维动画)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动漫与传媒学院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动漫与传媒学院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马业科学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动物科学(创新班)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动物医学院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动物药学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动物医学院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动物医学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会计学(金融与财务外包)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物流管理(网络商务与现代物流外包)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海洋资源与环境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化学与药学院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材料化学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化学与药学院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功能材料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化学与药学院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化学与药学院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化学与药学院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化学与药学院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电气工程及其自动化(智能硬件与产品设计)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农业电气化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农业机械化及其自动化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建筑环境与能源应用工程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经济学院（合作社学院）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经济学院（合作社学院）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经济学院（合作社学院）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经济与金融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经济学院（合作社学院）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经济与金融(财富管理)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经济学院（合作社学院）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知识产权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理学与信息科学学院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理学与信息科学学院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电子信息工程(机器人与人工智能)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理学与信息科学学院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理学与信息科学学院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理学与信息科学学院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计算机科学与技术(移动互联)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理学与信息科学学院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计算机科学与技术(云计算大数据与信息安全)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理学与信息科学学院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理学与信息科学学院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通信工程(物联网)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理学与信息科学学院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烟草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植物科学与技术(药用植物)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人文社会科学学院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人文社会科学学院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人文社会科学学院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秘书学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人文社会科学学院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生物技术(食用菌)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生物科学(创新实验班)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粮食工程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葡萄与葡萄酒工程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朝鲜语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英语(跨境电子商务)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绘画(中国画与鉴赏方向)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园林与林学院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园林与林学院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园林与林学院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植物医学学院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环境生态工程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农业资源与环境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CF"/>
    <w:rsid w:val="00197F3C"/>
    <w:rsid w:val="005114CF"/>
    <w:rsid w:val="00786816"/>
    <w:rsid w:val="00AA003C"/>
    <w:rsid w:val="26203806"/>
    <w:rsid w:val="524B2D8C"/>
    <w:rsid w:val="681B66D4"/>
    <w:rsid w:val="6FF86B2C"/>
    <w:rsid w:val="744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1967</Characters>
  <Lines>16</Lines>
  <Paragraphs>4</Paragraphs>
  <TotalTime>32</TotalTime>
  <ScaleCrop>false</ScaleCrop>
  <LinksUpToDate>false</LinksUpToDate>
  <CharactersWithSpaces>2307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2019-05-16T08:45:00Z</dcterms:created>
  <dc:creator>于</dc:creator>
  <cp:lastModifiedBy>ylsys</cp:lastModifiedBy>
  <dcterms:modified xsi:type="dcterms:W3CDTF">2020-06-03T12:48:10Z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