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napToGrid/>
        <w:spacing w:before="120" w:beforeAutospacing="0" w:after="120" w:afterAutospacing="0" w:line="640" w:lineRule="exact"/>
        <w:jc w:val="center"/>
        <w:textAlignment w:val="baseline"/>
        <w:rPr>
          <w:rFonts w:ascii="仿宋_GB2312" w:hAnsi="仿宋_GB2312" w:eastAsia="仿宋_GB2312"/>
          <w:b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方正小标宋简体" w:hAnsi="方正小标宋简体"/>
          <w:b/>
          <w:i w:val="0"/>
          <w:caps w:val="0"/>
          <w:spacing w:val="0"/>
          <w:w w:val="100"/>
          <w:sz w:val="44"/>
        </w:rPr>
        <w:t>关于</w:t>
      </w:r>
      <w:bookmarkStart w:id="0" w:name="_GoBack"/>
      <w:bookmarkEnd w:id="0"/>
      <w:r>
        <w:rPr>
          <w:rFonts w:hint="eastAsia" w:ascii="方正小标宋简体" w:hAnsi="方正小标宋简体"/>
          <w:b/>
          <w:i w:val="0"/>
          <w:caps w:val="0"/>
          <w:spacing w:val="0"/>
          <w:w w:val="100"/>
          <w:sz w:val="44"/>
          <w:lang w:val="en-US" w:eastAsia="zh-CN"/>
        </w:rPr>
        <w:t>教学名师有关问题说明</w:t>
      </w:r>
    </w:p>
    <w:p>
      <w:pPr>
        <w:snapToGrid/>
        <w:spacing w:before="0" w:beforeAutospacing="0" w:after="0" w:afterAutospacing="0" w:line="240" w:lineRule="auto"/>
        <w:ind w:firstLine="643" w:firstLineChars="200"/>
        <w:jc w:val="both"/>
        <w:textAlignment w:val="baseline"/>
        <w:rPr>
          <w:rFonts w:hint="eastAsia" w:ascii="仿宋_GB2312" w:hAnsi="仿宋_GB2312" w:eastAsia="仿宋_GB2312"/>
          <w:b/>
          <w:bCs/>
          <w:i w:val="0"/>
          <w:caps w:val="0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一、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关于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“主讲课程的课堂教学工作量”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问题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“主讲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</w:rPr>
        <w:t>课程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</w:rPr>
        <w:t>是指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申报人主讲本校本科课程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同时承担的其它课程，以及其它教学环节。包括公共必修课、公共选修课；专业必修课、专业选修课；实验课、本科生实习（实训）课、案例教学、临床带教、课程设计、毕业论文、毕业设计以及指导研究生等。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eastAsia="zh-CN"/>
        </w:rPr>
        <w:t>“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</w:rPr>
        <w:t>课堂教学工作量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eastAsia="zh-CN"/>
        </w:rPr>
        <w:t>”</w:t>
      </w:r>
      <w:r>
        <w:rPr>
          <w:rFonts w:hint="eastAsia" w:ascii="楷体" w:hAnsi="楷体" w:eastAsia="楷体" w:cs="楷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是指：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（一）培养方案或学期教学计划中明确教学学时的理论课程（含体育课程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等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），按明确的教学学时计算课堂教学学时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（二）培养方案或学期教学计划中未明确学时但明确学分的，按照学校规定的一般课程的“学分与学时换算”计算规则（一般1学分为16-18学时）统计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课堂教学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学时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（1）主讲教师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全程指导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学生学习的实验课、实习（实训）课，可按课程学时计算课堂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学时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（2）主讲教师仅在部分时段为学生集中讲授和指导的实习（实训）、课程设计、毕业论文（设计）等实践课程，按实际集中讲授的学时计算课堂教学学时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学校有规定集中讲授学时要求的，按学校规定的最低学时计算课堂教学学时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（三）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两人或多人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联合讲授一门课程，按照实际讲授学时计算课堂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学时，不得简单将课程总学时直接认定为某人个人讲授的课堂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教学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学时。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  <w:lang w:eastAsia="zh-CN"/>
        </w:rPr>
      </w:pP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二、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关于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“每学年至少为本科生主讲一门课程（医学专业教师按教学时数计算，本科教学工作量平均不少于</w:t>
      </w:r>
      <w:r>
        <w:rPr>
          <w:rFonts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60学时/学年，含案例教学和临床带教）</w:t>
      </w:r>
      <w:r>
        <w:rPr>
          <w:rFonts w:hint="eastAsia" w:ascii="黑体" w:hAnsi="黑体" w:eastAsia="黑体"/>
          <w:b w:val="0"/>
          <w:i w:val="0"/>
          <w:caps w:val="0"/>
          <w:spacing w:val="0"/>
          <w:w w:val="100"/>
          <w:sz w:val="32"/>
          <w:szCs w:val="32"/>
        </w:rPr>
        <w:t>”</w:t>
      </w:r>
      <w:r>
        <w:rPr>
          <w:rFonts w:hint="eastAsia" w:ascii="黑体" w:hAnsi="黑体" w:eastAsia="黑体" w:cs="黑体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问题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一）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申报人每学年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均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应独立讲授至少一门本科专业人才培养方案中的学分课程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两人或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多人联合讲授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，申报人讲授学时须不低于该课程总学时的50%。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二）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医学专业教师按教学时数计算，本科教学工作量平均不少于60学时/学年，含案例教学和临床带教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  <w:t>是否规定讲授学时最低比例，由各校根据实际自行确定。</w:t>
      </w: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hint="eastAsia" w:ascii="仿宋" w:hAnsi="仿宋" w:eastAsia="仿宋" w:cs="仿宋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ind w:firstLine="640" w:firstLineChars="200"/>
        <w:jc w:val="both"/>
        <w:textAlignment w:val="baseline"/>
        <w:rPr>
          <w:rFonts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</w:pPr>
    </w:p>
    <w:p>
      <w:pPr>
        <w:snapToGrid/>
        <w:spacing w:before="0" w:beforeAutospacing="0" w:after="0" w:afterAutospacing="0" w:line="240" w:lineRule="auto"/>
        <w:ind w:firstLine="5120" w:firstLineChars="1600"/>
        <w:jc w:val="both"/>
        <w:textAlignment w:val="baseline"/>
        <w:rPr>
          <w:rFonts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</w:pPr>
      <w:r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2</w:t>
      </w:r>
      <w:r>
        <w:rPr>
          <w:rFonts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020</w:t>
      </w:r>
      <w:r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年1</w:t>
      </w:r>
      <w:r>
        <w:rPr>
          <w:rFonts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2</w:t>
      </w:r>
      <w:r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月1</w:t>
      </w:r>
      <w:r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  <w:lang w:val="en-US" w:eastAsia="zh-CN"/>
        </w:rPr>
        <w:t>8</w:t>
      </w:r>
      <w:r>
        <w:rPr>
          <w:rFonts w:hint="eastAsia" w:ascii="仿宋_GB2312" w:hAnsi="仿宋_GB2312" w:eastAsia="仿宋_GB2312"/>
          <w:b w:val="0"/>
          <w:i w:val="0"/>
          <w:caps w:val="0"/>
          <w:spacing w:val="0"/>
          <w:w w:val="100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0C41"/>
    <w:rsid w:val="00183E90"/>
    <w:rsid w:val="002118FC"/>
    <w:rsid w:val="002F139D"/>
    <w:rsid w:val="00480D49"/>
    <w:rsid w:val="004C243F"/>
    <w:rsid w:val="00507EEF"/>
    <w:rsid w:val="005919D3"/>
    <w:rsid w:val="005E4495"/>
    <w:rsid w:val="00607DEF"/>
    <w:rsid w:val="007D7CC6"/>
    <w:rsid w:val="008A0C41"/>
    <w:rsid w:val="008F5E42"/>
    <w:rsid w:val="009348DC"/>
    <w:rsid w:val="009C2891"/>
    <w:rsid w:val="00A625EF"/>
    <w:rsid w:val="00A7009C"/>
    <w:rsid w:val="00AD22A8"/>
    <w:rsid w:val="00BA420E"/>
    <w:rsid w:val="00C624EB"/>
    <w:rsid w:val="00CA06C4"/>
    <w:rsid w:val="00CF52AA"/>
    <w:rsid w:val="00D7658E"/>
    <w:rsid w:val="00E43623"/>
    <w:rsid w:val="00EB2E4D"/>
    <w:rsid w:val="00F008CD"/>
    <w:rsid w:val="00F45320"/>
    <w:rsid w:val="00F71680"/>
    <w:rsid w:val="00F90ECE"/>
    <w:rsid w:val="00FC7F08"/>
    <w:rsid w:val="018472ED"/>
    <w:rsid w:val="025406CE"/>
    <w:rsid w:val="032A3350"/>
    <w:rsid w:val="043A0474"/>
    <w:rsid w:val="05344812"/>
    <w:rsid w:val="0CBF3786"/>
    <w:rsid w:val="0E654247"/>
    <w:rsid w:val="12992FB9"/>
    <w:rsid w:val="12FC0590"/>
    <w:rsid w:val="134B659D"/>
    <w:rsid w:val="14936AAA"/>
    <w:rsid w:val="16E33875"/>
    <w:rsid w:val="17AC6AA5"/>
    <w:rsid w:val="185028FC"/>
    <w:rsid w:val="1F8A57E0"/>
    <w:rsid w:val="241757BD"/>
    <w:rsid w:val="25706939"/>
    <w:rsid w:val="27310910"/>
    <w:rsid w:val="297979A6"/>
    <w:rsid w:val="2DC75933"/>
    <w:rsid w:val="38F06739"/>
    <w:rsid w:val="392D6323"/>
    <w:rsid w:val="3B710D7F"/>
    <w:rsid w:val="43D83E76"/>
    <w:rsid w:val="44257AA8"/>
    <w:rsid w:val="44774047"/>
    <w:rsid w:val="4A4B0503"/>
    <w:rsid w:val="4A616A18"/>
    <w:rsid w:val="4A9239A1"/>
    <w:rsid w:val="4B0F47B5"/>
    <w:rsid w:val="4D921E0F"/>
    <w:rsid w:val="4DC5589C"/>
    <w:rsid w:val="524F3B1A"/>
    <w:rsid w:val="527C06E5"/>
    <w:rsid w:val="533E0D25"/>
    <w:rsid w:val="55F16635"/>
    <w:rsid w:val="579B7976"/>
    <w:rsid w:val="58B74CAE"/>
    <w:rsid w:val="5A1A0BA6"/>
    <w:rsid w:val="5CB33E6F"/>
    <w:rsid w:val="5E430974"/>
    <w:rsid w:val="5F4806C8"/>
    <w:rsid w:val="623D15A9"/>
    <w:rsid w:val="644C7E5F"/>
    <w:rsid w:val="66F0454C"/>
    <w:rsid w:val="66FD6488"/>
    <w:rsid w:val="699B2252"/>
    <w:rsid w:val="6B871FE3"/>
    <w:rsid w:val="6BD84A7B"/>
    <w:rsid w:val="6D206A4D"/>
    <w:rsid w:val="6DFB3FA5"/>
    <w:rsid w:val="7172013F"/>
    <w:rsid w:val="75313BDD"/>
    <w:rsid w:val="75A15B62"/>
    <w:rsid w:val="777B26EE"/>
    <w:rsid w:val="78DA6F25"/>
    <w:rsid w:val="7D946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120" w:after="120" w:line="640" w:lineRule="exact"/>
      <w:outlineLvl w:val="0"/>
    </w:pPr>
    <w:rPr>
      <w:rFonts w:eastAsia="方正小标宋简体"/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3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annotation subject"/>
    <w:basedOn w:val="3"/>
    <w:next w:val="3"/>
    <w:link w:val="14"/>
    <w:semiHidden/>
    <w:unhideWhenUsed/>
    <w:qFormat/>
    <w:uiPriority w:val="99"/>
    <w:rPr>
      <w:b/>
      <w:bCs/>
    </w:rPr>
  </w:style>
  <w:style w:type="character" w:styleId="10">
    <w:name w:val="annotation reference"/>
    <w:basedOn w:val="9"/>
    <w:semiHidden/>
    <w:unhideWhenUsed/>
    <w:qFormat/>
    <w:uiPriority w:val="99"/>
    <w:rPr>
      <w:sz w:val="21"/>
      <w:szCs w:val="21"/>
    </w:rPr>
  </w:style>
  <w:style w:type="character" w:customStyle="1" w:styleId="11">
    <w:name w:val="标题 1 字符"/>
    <w:basedOn w:val="9"/>
    <w:link w:val="2"/>
    <w:qFormat/>
    <w:uiPriority w:val="9"/>
    <w:rPr>
      <w:rFonts w:eastAsia="方正小标宋简体"/>
      <w:b/>
      <w:bCs/>
      <w:kern w:val="44"/>
      <w:sz w:val="44"/>
      <w:szCs w:val="44"/>
    </w:rPr>
  </w:style>
  <w:style w:type="character" w:customStyle="1" w:styleId="12">
    <w:name w:val="批注框文本 字符"/>
    <w:basedOn w:val="9"/>
    <w:link w:val="4"/>
    <w:semiHidden/>
    <w:qFormat/>
    <w:uiPriority w:val="99"/>
    <w:rPr>
      <w:kern w:val="2"/>
      <w:sz w:val="18"/>
      <w:szCs w:val="18"/>
    </w:rPr>
  </w:style>
  <w:style w:type="character" w:customStyle="1" w:styleId="13">
    <w:name w:val="批注文字 字符"/>
    <w:basedOn w:val="9"/>
    <w:link w:val="3"/>
    <w:semiHidden/>
    <w:qFormat/>
    <w:uiPriority w:val="99"/>
    <w:rPr>
      <w:kern w:val="2"/>
      <w:sz w:val="21"/>
      <w:szCs w:val="22"/>
    </w:rPr>
  </w:style>
  <w:style w:type="character" w:customStyle="1" w:styleId="14">
    <w:name w:val="批注主题 字符"/>
    <w:basedOn w:val="13"/>
    <w:link w:val="7"/>
    <w:semiHidden/>
    <w:qFormat/>
    <w:uiPriority w:val="99"/>
    <w:rPr>
      <w:b/>
      <w:bCs/>
      <w:kern w:val="2"/>
      <w:sz w:val="21"/>
      <w:szCs w:val="22"/>
    </w:rPr>
  </w:style>
  <w:style w:type="character" w:customStyle="1" w:styleId="15">
    <w:name w:val="页眉 字符"/>
    <w:basedOn w:val="9"/>
    <w:link w:val="6"/>
    <w:qFormat/>
    <w:uiPriority w:val="99"/>
    <w:rPr>
      <w:kern w:val="2"/>
      <w:sz w:val="18"/>
      <w:szCs w:val="18"/>
    </w:rPr>
  </w:style>
  <w:style w:type="character" w:customStyle="1" w:styleId="16">
    <w:name w:val="页脚 字符"/>
    <w:basedOn w:val="9"/>
    <w:link w:val="5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134</Words>
  <Characters>770</Characters>
  <Lines>6</Lines>
  <Paragraphs>1</Paragraphs>
  <TotalTime>78</TotalTime>
  <ScaleCrop>false</ScaleCrop>
  <LinksUpToDate>false</LinksUpToDate>
  <CharactersWithSpaces>903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2020-12-17T09:02:00Z</dcterms:created>
  <dc:creator>G GG</dc:creator>
  <cp:lastModifiedBy>86139</cp:lastModifiedBy>
  <cp:lastPrinted>2020-12-18T03:18:00Z</cp:lastPrinted>
  <dcterms:modified xsi:type="dcterms:W3CDTF">2020-12-18T04:58:55Z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2052-11.8.6.8810</vt:lpwstr>
  </property>
</Properties>
</file>