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eastAsia="黑体"/>
          <w:bCs/>
          <w:color w:val="auto"/>
          <w:sz w:val="36"/>
          <w:szCs w:val="36"/>
        </w:rPr>
      </w:pPr>
      <w:bookmarkStart w:id="0" w:name="_GoBack"/>
      <w:r>
        <w:rPr>
          <w:rFonts w:eastAsia="黑体"/>
          <w:color w:val="auto"/>
          <w:sz w:val="36"/>
          <w:szCs w:val="36"/>
        </w:rPr>
        <w:t>动画专业（游戏设计方向）人才培养方案</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一、专业名称(中英文)与专业代码</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专业</w:t>
      </w:r>
      <w:r>
        <w:rPr>
          <w:rFonts w:eastAsia="仿宋_GB2312"/>
          <w:color w:val="auto"/>
          <w:sz w:val="24"/>
        </w:rPr>
        <w:t>名称</w:t>
      </w:r>
      <w:r>
        <w:rPr>
          <w:rFonts w:hint="eastAsia" w:eastAsia="仿宋_GB2312"/>
          <w:color w:val="auto"/>
          <w:sz w:val="24"/>
        </w:rPr>
        <w:t>：</w:t>
      </w:r>
      <w:r>
        <w:rPr>
          <w:rFonts w:eastAsia="仿宋_GB2312"/>
          <w:color w:val="auto"/>
          <w:sz w:val="24"/>
        </w:rPr>
        <w:t>动画（</w:t>
      </w:r>
      <w:r>
        <w:rPr>
          <w:rFonts w:eastAsia="仿宋_GB2312"/>
          <w:bCs/>
          <w:color w:val="auto"/>
          <w:sz w:val="24"/>
        </w:rPr>
        <w:t>游戏设计方向</w:t>
      </w:r>
      <w:r>
        <w:rPr>
          <w:rFonts w:eastAsia="仿宋_GB2312"/>
          <w:color w:val="auto"/>
          <w:sz w:val="24"/>
        </w:rPr>
        <w:t>）Animation（Game Design）</w:t>
      </w:r>
    </w:p>
    <w:p>
      <w:pPr>
        <w:adjustRightInd w:val="0"/>
        <w:snapToGrid w:val="0"/>
        <w:spacing w:line="360" w:lineRule="auto"/>
        <w:ind w:firstLine="480" w:firstLineChars="200"/>
        <w:rPr>
          <w:rFonts w:eastAsia="仿宋_GB2312"/>
          <w:color w:val="auto"/>
          <w:sz w:val="24"/>
        </w:rPr>
      </w:pPr>
      <w:r>
        <w:rPr>
          <w:rFonts w:eastAsia="仿宋_GB2312"/>
          <w:color w:val="auto"/>
          <w:sz w:val="24"/>
        </w:rPr>
        <w:t>专业代码：</w:t>
      </w:r>
      <w:r>
        <w:rPr>
          <w:rFonts w:eastAsia="仿宋_GB2312"/>
          <w:color w:val="auto"/>
          <w:sz w:val="24"/>
        </w:rPr>
        <w:t>130310</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二、培养目标</w:t>
      </w:r>
    </w:p>
    <w:p>
      <w:pPr>
        <w:adjustRightInd w:val="0"/>
        <w:snapToGrid w:val="0"/>
        <w:spacing w:line="360" w:lineRule="auto"/>
        <w:ind w:firstLine="480" w:firstLineChars="200"/>
        <w:rPr>
          <w:rFonts w:eastAsia="仿宋_GB2312"/>
          <w:color w:val="auto"/>
          <w:sz w:val="24"/>
        </w:rPr>
      </w:pPr>
      <w:r>
        <w:rPr>
          <w:rFonts w:eastAsia="仿宋_GB2312"/>
          <w:color w:val="auto"/>
          <w:sz w:val="24"/>
        </w:rPr>
        <w:t>本专业</w:t>
      </w:r>
      <w:r>
        <w:rPr>
          <w:rFonts w:eastAsia="仿宋_GB2312"/>
          <w:color w:val="auto"/>
          <w:sz w:val="24"/>
        </w:rPr>
        <w:t>培养德、智、体、美、劳全面发展，对国家和社会有高度责任感。具备较高人文素质、审美能力和艺术修养，适应数字时代与信息社会发展，具有较开阔的视野和良好的沟通能力的高素质应用型人才。掌握游戏动画生产、游戏策划、游戏美术设计、游戏周边开发等知识以及相关应用技能、理论与方法，具有游戏设计能力和素养，能在游戏设计及制作领域从事策划创作工作，以及手机游戏开发和游戏技术与虚拟现实模拟测试等工作的高等创新型、复合型、应用型专业人才。</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毕业后</w:t>
      </w:r>
      <w:r>
        <w:rPr>
          <w:rFonts w:eastAsia="仿宋_GB2312"/>
          <w:color w:val="auto"/>
          <w:sz w:val="24"/>
        </w:rPr>
        <w:t>5</w:t>
      </w:r>
      <w:r>
        <w:rPr>
          <w:rFonts w:hint="eastAsia" w:eastAsia="仿宋_GB2312"/>
          <w:color w:val="auto"/>
          <w:sz w:val="24"/>
        </w:rPr>
        <w:t>年以后专业培养目标预期：</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1、具备游戏美术设计、游戏动画创作所需要的基础知识及理论，能在游戏与影视公司等制作岗位上从事游戏美术设计和游戏策划及游戏动画创作和理论研究方面的专业人才；</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2、在游戏设计公司、动画传播企事业单位作为骨干成员，从事游戏动画策划、游戏美术创作、游戏娱乐产业推广、游戏发开及应用；</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3、在各级各类学校从事游戏设计与动画教学与研究工作的应用型、创新型人才；</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4、就业于游戏软件公司、影视制作公司、动画基地、新媒体产业公司、音像出版机构、学校、网络公司、新闻出版社、电子出版、数码影视广告、企事业单位设计策划等部门；</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5、作为有希望的朝阳产业，动画产业涵盖了游戏美术设计、数字影视动画、VR互动、电影特效、展厅设计、主题公园及相关衍生产品的产业领域，借助产业等优势，成为相关产业自主创业的综合型人才。</w:t>
      </w:r>
    </w:p>
    <w:p>
      <w:pPr>
        <w:adjustRightInd w:val="0"/>
        <w:snapToGrid w:val="0"/>
        <w:spacing w:line="360" w:lineRule="auto"/>
        <w:ind w:firstLine="480" w:firstLineChars="200"/>
        <w:rPr>
          <w:rFonts w:eastAsia="仿宋_GB2312"/>
          <w:color w:val="auto"/>
          <w:sz w:val="24"/>
        </w:rPr>
      </w:pPr>
      <w:r>
        <w:rPr>
          <w:rFonts w:eastAsia="仿宋_GB2312"/>
          <w:color w:val="auto"/>
          <w:sz w:val="24"/>
        </w:rPr>
        <w:t>专业培养特色：</w:t>
      </w:r>
      <w:r>
        <w:rPr>
          <w:rFonts w:eastAsia="仿宋_GB2312"/>
          <w:color w:val="auto"/>
          <w:sz w:val="24"/>
        </w:rPr>
        <w:t>游戏设计主要研究游戏设计创作和虚拟演示动画所需要的基础知识和理论，包括动画视听语言、交互艺术设计、游戏设计的基础知识与基本理论、游戏概念设计、游戏造型设计、虚拟现实创作等，从而具备较强的游戏动画制作能力。</w:t>
      </w:r>
      <w:r>
        <w:rPr>
          <w:rFonts w:eastAsia="仿宋_GB2312"/>
          <w:color w:val="auto"/>
          <w:sz w:val="24"/>
        </w:rPr>
        <w:t>专业培养中秉持“厚基础、精专业”的办学理念，</w:t>
      </w:r>
      <w:r>
        <w:rPr>
          <w:rFonts w:eastAsia="仿宋_GB2312"/>
          <w:color w:val="auto"/>
          <w:sz w:val="24"/>
        </w:rPr>
        <w:t>大一</w:t>
      </w:r>
      <w:r>
        <w:rPr>
          <w:rFonts w:hint="eastAsia" w:eastAsia="仿宋_GB2312"/>
          <w:color w:val="auto"/>
          <w:sz w:val="24"/>
        </w:rPr>
        <w:t>至</w:t>
      </w:r>
      <w:r>
        <w:rPr>
          <w:rFonts w:eastAsia="仿宋_GB2312"/>
          <w:color w:val="auto"/>
          <w:sz w:val="24"/>
        </w:rPr>
        <w:t>二</w:t>
      </w:r>
      <w:r>
        <w:rPr>
          <w:rFonts w:hint="eastAsia" w:eastAsia="仿宋_GB2312"/>
          <w:color w:val="auto"/>
          <w:sz w:val="24"/>
        </w:rPr>
        <w:t>期间</w:t>
      </w:r>
      <w:r>
        <w:rPr>
          <w:rFonts w:eastAsia="仿宋_GB2312"/>
          <w:color w:val="auto"/>
          <w:sz w:val="24"/>
        </w:rPr>
        <w:t>主要安排审美、数字表现等基础课程与艺术素养类课程，在技能储备和审美修养方面给学生</w:t>
      </w:r>
      <w:r>
        <w:rPr>
          <w:rFonts w:hint="eastAsia" w:eastAsia="仿宋_GB2312"/>
          <w:color w:val="auto"/>
          <w:sz w:val="24"/>
        </w:rPr>
        <w:t>确定</w:t>
      </w:r>
      <w:r>
        <w:rPr>
          <w:rFonts w:eastAsia="仿宋_GB2312"/>
          <w:color w:val="auto"/>
          <w:sz w:val="24"/>
        </w:rPr>
        <w:t>方向</w:t>
      </w:r>
      <w:r>
        <w:rPr>
          <w:rFonts w:hint="eastAsia" w:eastAsia="仿宋_GB2312"/>
          <w:color w:val="auto"/>
          <w:sz w:val="24"/>
        </w:rPr>
        <w:t>，培养</w:t>
      </w:r>
      <w:r>
        <w:rPr>
          <w:rFonts w:eastAsia="仿宋_GB2312"/>
          <w:color w:val="auto"/>
          <w:sz w:val="24"/>
        </w:rPr>
        <w:t>开发学生的艺术创造能力；大三以</w:t>
      </w:r>
      <w:r>
        <w:rPr>
          <w:rFonts w:hint="eastAsia" w:eastAsia="仿宋_GB2312"/>
          <w:color w:val="auto"/>
          <w:sz w:val="24"/>
        </w:rPr>
        <w:t>游戏设计主干课程为主要学习任务</w:t>
      </w:r>
      <w:r>
        <w:rPr>
          <w:rFonts w:eastAsia="仿宋_GB2312"/>
          <w:color w:val="auto"/>
          <w:sz w:val="24"/>
        </w:rPr>
        <w:t>，注重艺术创作实践与选修课的拓展，</w:t>
      </w:r>
      <w:r>
        <w:rPr>
          <w:rFonts w:hint="eastAsia" w:eastAsia="仿宋_GB2312"/>
          <w:color w:val="auto"/>
          <w:sz w:val="24"/>
        </w:rPr>
        <w:t>以实际项目打造学生的行业适应能力和创新创业能力</w:t>
      </w:r>
      <w:r>
        <w:rPr>
          <w:rFonts w:eastAsia="仿宋_GB2312"/>
          <w:color w:val="auto"/>
          <w:sz w:val="24"/>
        </w:rPr>
        <w:t>；大四进行毕业创作、撰写创作报告（论文）以及社会实践与调查。本专业方向的培养宗旨是在国际环境日趋繁荣的游戏市场的背景下，</w:t>
      </w:r>
      <w:r>
        <w:rPr>
          <w:rFonts w:hint="eastAsia" w:eastAsia="仿宋_GB2312"/>
          <w:color w:val="auto"/>
          <w:sz w:val="24"/>
        </w:rPr>
        <w:t>加强游戏设计与开发课程及外语知识的学习，</w:t>
      </w:r>
      <w:r>
        <w:rPr>
          <w:rFonts w:eastAsia="仿宋_GB2312"/>
          <w:color w:val="auto"/>
          <w:sz w:val="24"/>
        </w:rPr>
        <w:t>培养</w:t>
      </w:r>
      <w:r>
        <w:rPr>
          <w:rFonts w:hint="eastAsia" w:eastAsia="仿宋_GB2312"/>
          <w:color w:val="auto"/>
          <w:sz w:val="24"/>
        </w:rPr>
        <w:t>具备较开阔的视野和良好的沟通能力的高素质社会主义事业合格建设者和可靠接班人，</w:t>
      </w:r>
      <w:r>
        <w:rPr>
          <w:rFonts w:eastAsia="仿宋_GB2312"/>
          <w:color w:val="auto"/>
          <w:sz w:val="24"/>
        </w:rPr>
        <w:t>能满足市场经济需求从事游戏设计行业的相关人才。</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三、毕业要求</w:t>
      </w:r>
    </w:p>
    <w:p>
      <w:pPr>
        <w:adjustRightInd w:val="0"/>
        <w:snapToGrid w:val="0"/>
        <w:spacing w:line="360" w:lineRule="auto"/>
        <w:ind w:firstLine="482" w:firstLineChars="200"/>
        <w:outlineLvl w:val="0"/>
        <w:rPr>
          <w:rFonts w:eastAsia="楷体_GB2312"/>
          <w:b/>
          <w:color w:val="auto"/>
          <w:sz w:val="24"/>
        </w:rPr>
      </w:pPr>
      <w:r>
        <w:rPr>
          <w:rFonts w:eastAsia="楷体_GB2312"/>
          <w:b/>
          <w:color w:val="auto"/>
          <w:sz w:val="24"/>
        </w:rPr>
        <w:t>（一）毕业基本要求</w:t>
      </w:r>
    </w:p>
    <w:p>
      <w:pPr>
        <w:adjustRightInd w:val="0"/>
        <w:snapToGrid w:val="0"/>
        <w:spacing w:line="360" w:lineRule="auto"/>
        <w:ind w:firstLine="480" w:firstLineChars="200"/>
        <w:rPr>
          <w:rFonts w:eastAsia="仿宋_GB2312"/>
          <w:color w:val="auto"/>
          <w:sz w:val="24"/>
        </w:rPr>
      </w:pPr>
      <w:r>
        <w:rPr>
          <w:rFonts w:eastAsia="仿宋_GB2312"/>
          <w:color w:val="auto"/>
          <w:sz w:val="24"/>
        </w:rPr>
        <w:t>本专业学生主要学习游戏设计思维与创意、虚拟游戏沉浸式体验行为、动漫与游戏产品运营与推广等方面的基本理论和基础知识，</w:t>
      </w:r>
      <w:r>
        <w:rPr>
          <w:rFonts w:hint="eastAsia" w:eastAsia="仿宋_GB2312"/>
          <w:color w:val="auto"/>
          <w:sz w:val="24"/>
        </w:rPr>
        <w:t>具有较强的社会责任感，梳理和践行社会主义核心价值观，专业能力过硬具备</w:t>
      </w:r>
      <w:r>
        <w:rPr>
          <w:rFonts w:eastAsia="仿宋_GB2312"/>
          <w:color w:val="auto"/>
          <w:sz w:val="24"/>
        </w:rPr>
        <w:t>游戏架构思维、游戏关卡设计、引擎语言等</w:t>
      </w:r>
      <w:r>
        <w:rPr>
          <w:rFonts w:hint="eastAsia" w:eastAsia="仿宋_GB2312"/>
          <w:color w:val="auto"/>
          <w:sz w:val="24"/>
        </w:rPr>
        <w:t>专业</w:t>
      </w:r>
      <w:r>
        <w:rPr>
          <w:rFonts w:eastAsia="仿宋_GB2312"/>
          <w:color w:val="auto"/>
          <w:sz w:val="24"/>
        </w:rPr>
        <w:t>方面的基本</w:t>
      </w:r>
      <w:r>
        <w:rPr>
          <w:rFonts w:hint="eastAsia" w:eastAsia="仿宋_GB2312"/>
          <w:color w:val="auto"/>
          <w:sz w:val="24"/>
        </w:rPr>
        <w:t>知识</w:t>
      </w:r>
      <w:r>
        <w:rPr>
          <w:rFonts w:eastAsia="仿宋_GB2312"/>
          <w:color w:val="auto"/>
          <w:sz w:val="24"/>
        </w:rPr>
        <w:t>，掌握游戏动画产品策划与设计、项目研发、市场运营和媒体传播的基本能力。</w:t>
      </w:r>
    </w:p>
    <w:p>
      <w:pPr>
        <w:adjustRightInd w:val="0"/>
        <w:snapToGrid w:val="0"/>
        <w:spacing w:line="360" w:lineRule="auto"/>
        <w:ind w:firstLine="480" w:firstLineChars="200"/>
        <w:rPr>
          <w:rFonts w:eastAsia="仿宋_GB2312"/>
          <w:color w:val="auto"/>
          <w:sz w:val="24"/>
        </w:rPr>
      </w:pPr>
      <w:r>
        <w:rPr>
          <w:rFonts w:eastAsia="仿宋_GB2312"/>
          <w:color w:val="auto"/>
          <w:sz w:val="24"/>
        </w:rPr>
        <w:t>毕业生应获得的具体知识和能力：</w:t>
      </w:r>
    </w:p>
    <w:p>
      <w:pPr>
        <w:adjustRightInd w:val="0"/>
        <w:snapToGrid w:val="0"/>
        <w:spacing w:line="360" w:lineRule="auto"/>
        <w:ind w:firstLine="480" w:firstLineChars="200"/>
        <w:outlineLvl w:val="1"/>
        <w:rPr>
          <w:rFonts w:eastAsia="仿宋_GB2312"/>
          <w:color w:val="auto"/>
          <w:sz w:val="24"/>
        </w:rPr>
      </w:pPr>
      <w:r>
        <w:rPr>
          <w:rFonts w:eastAsia="仿宋_GB2312"/>
          <w:color w:val="auto"/>
          <w:sz w:val="24"/>
        </w:rPr>
        <w:t>1、知识要求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（1）掌握相关专业的语言应用知识，具备较好的艺术设计理论及美学修养；</w:t>
      </w:r>
    </w:p>
    <w:p>
      <w:pPr>
        <w:adjustRightInd w:val="0"/>
        <w:snapToGrid w:val="0"/>
        <w:spacing w:line="360" w:lineRule="auto"/>
        <w:ind w:firstLine="480" w:firstLineChars="200"/>
        <w:rPr>
          <w:rFonts w:eastAsia="仿宋_GB2312"/>
          <w:color w:val="auto"/>
          <w:sz w:val="24"/>
        </w:rPr>
      </w:pPr>
      <w:r>
        <w:rPr>
          <w:rFonts w:eastAsia="仿宋_GB2312"/>
          <w:color w:val="auto"/>
          <w:sz w:val="24"/>
        </w:rPr>
        <w:t>（2）了解本专业领域的发展历史、发展前沿、研究动态及创新方向；掌握专业基本理论、核心知识，以及在相关领域展开创作、制作及技术应用所需的相关知识；</w:t>
      </w:r>
    </w:p>
    <w:p>
      <w:pPr>
        <w:adjustRightInd w:val="0"/>
        <w:snapToGrid w:val="0"/>
        <w:spacing w:line="360" w:lineRule="auto"/>
        <w:ind w:firstLine="480" w:firstLineChars="200"/>
        <w:rPr>
          <w:rFonts w:eastAsia="仿宋_GB2312"/>
          <w:color w:val="auto"/>
          <w:sz w:val="24"/>
        </w:rPr>
      </w:pPr>
      <w:r>
        <w:rPr>
          <w:rFonts w:eastAsia="仿宋_GB2312"/>
          <w:color w:val="auto"/>
          <w:sz w:val="24"/>
        </w:rPr>
        <w:t>（3）掌握视听语言，并能灵活应用游戏的视听特性进行创作；</w:t>
      </w:r>
    </w:p>
    <w:p>
      <w:pPr>
        <w:adjustRightInd w:val="0"/>
        <w:snapToGrid w:val="0"/>
        <w:spacing w:line="360" w:lineRule="auto"/>
        <w:ind w:firstLine="480" w:firstLineChars="200"/>
        <w:rPr>
          <w:rFonts w:eastAsia="仿宋_GB2312"/>
          <w:color w:val="auto"/>
          <w:sz w:val="24"/>
        </w:rPr>
      </w:pPr>
      <w:r>
        <w:rPr>
          <w:rFonts w:eastAsia="仿宋_GB2312"/>
          <w:color w:val="auto"/>
          <w:sz w:val="24"/>
        </w:rPr>
        <w:t>（4）掌握戏剧与影视学相关的理论知识。</w:t>
      </w:r>
    </w:p>
    <w:p>
      <w:pPr>
        <w:adjustRightInd w:val="0"/>
        <w:snapToGrid w:val="0"/>
        <w:spacing w:line="360" w:lineRule="auto"/>
        <w:ind w:firstLine="480" w:firstLineChars="200"/>
        <w:outlineLvl w:val="1"/>
        <w:rPr>
          <w:rFonts w:eastAsia="仿宋_GB2312"/>
          <w:color w:val="auto"/>
          <w:sz w:val="24"/>
        </w:rPr>
      </w:pPr>
      <w:r>
        <w:rPr>
          <w:rFonts w:eastAsia="仿宋_GB2312"/>
          <w:color w:val="auto"/>
          <w:sz w:val="24"/>
        </w:rPr>
        <w:t>2、能力要求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（1）具有较强的创新能力，具备游戏设计的基础表现能力；</w:t>
      </w:r>
    </w:p>
    <w:p>
      <w:pPr>
        <w:adjustRightInd w:val="0"/>
        <w:snapToGrid w:val="0"/>
        <w:spacing w:line="360" w:lineRule="auto"/>
        <w:ind w:firstLine="480" w:firstLineChars="200"/>
        <w:rPr>
          <w:rFonts w:eastAsia="仿宋_GB2312"/>
          <w:color w:val="auto"/>
          <w:sz w:val="24"/>
        </w:rPr>
      </w:pPr>
      <w:r>
        <w:rPr>
          <w:rFonts w:eastAsia="仿宋_GB2312"/>
          <w:color w:val="auto"/>
          <w:sz w:val="24"/>
        </w:rPr>
        <w:t>（2）掌握游戏美术设计与制作的专业基础知识及技能，熟悉游戏制作的基本流程、项目管理、市场营销、著作权保护及相关方面的常识；</w:t>
      </w:r>
    </w:p>
    <w:p>
      <w:pPr>
        <w:adjustRightInd w:val="0"/>
        <w:snapToGrid w:val="0"/>
        <w:spacing w:line="360" w:lineRule="auto"/>
        <w:ind w:firstLine="480" w:firstLineChars="200"/>
        <w:rPr>
          <w:rFonts w:eastAsia="仿宋_GB2312"/>
          <w:color w:val="auto"/>
          <w:sz w:val="24"/>
        </w:rPr>
      </w:pPr>
      <w:r>
        <w:rPr>
          <w:rFonts w:eastAsia="仿宋_GB2312"/>
          <w:color w:val="auto"/>
          <w:sz w:val="24"/>
        </w:rPr>
        <w:t>（3）熟悉游戏美术创作相关的艺术、技术背景知识；掌握游戏设计、游戏策划与编辑、移动网络游戏制作等相关领域创作、制作及技术应用所需的知识与技巧；</w:t>
      </w:r>
    </w:p>
    <w:p>
      <w:pPr>
        <w:adjustRightInd w:val="0"/>
        <w:snapToGrid w:val="0"/>
        <w:spacing w:line="360" w:lineRule="auto"/>
        <w:ind w:firstLine="480" w:firstLineChars="200"/>
        <w:rPr>
          <w:rFonts w:eastAsia="仿宋_GB2312"/>
          <w:color w:val="auto"/>
          <w:sz w:val="24"/>
        </w:rPr>
      </w:pPr>
      <w:r>
        <w:rPr>
          <w:rFonts w:eastAsia="仿宋_GB2312"/>
          <w:color w:val="auto"/>
          <w:sz w:val="24"/>
        </w:rPr>
        <w:t>（4）具备获取更新专业前沿知识、技能的自主学习、可持续发展与创新能力。</w:t>
      </w:r>
    </w:p>
    <w:p>
      <w:pPr>
        <w:adjustRightInd w:val="0"/>
        <w:snapToGrid w:val="0"/>
        <w:spacing w:line="360" w:lineRule="auto"/>
        <w:ind w:firstLine="480" w:firstLineChars="200"/>
        <w:outlineLvl w:val="1"/>
        <w:rPr>
          <w:rFonts w:eastAsia="仿宋_GB2312"/>
          <w:color w:val="auto"/>
          <w:sz w:val="24"/>
        </w:rPr>
      </w:pPr>
      <w:r>
        <w:rPr>
          <w:rFonts w:eastAsia="仿宋_GB2312"/>
          <w:color w:val="auto"/>
          <w:sz w:val="24"/>
        </w:rPr>
        <w:t>3、素质要求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（1）具备良好的人际沟通和团队协作素质；</w:t>
      </w:r>
    </w:p>
    <w:p>
      <w:pPr>
        <w:adjustRightInd w:val="0"/>
        <w:snapToGrid w:val="0"/>
        <w:spacing w:line="360" w:lineRule="auto"/>
        <w:ind w:firstLine="480" w:firstLineChars="200"/>
        <w:rPr>
          <w:rFonts w:eastAsia="仿宋_GB2312"/>
          <w:color w:val="auto"/>
          <w:sz w:val="24"/>
        </w:rPr>
      </w:pPr>
      <w:r>
        <w:rPr>
          <w:rFonts w:eastAsia="仿宋_GB2312"/>
          <w:color w:val="auto"/>
          <w:sz w:val="24"/>
        </w:rPr>
        <w:t>（2）具有良好的社会适应能力；</w:t>
      </w:r>
    </w:p>
    <w:p>
      <w:pPr>
        <w:adjustRightInd w:val="0"/>
        <w:snapToGrid w:val="0"/>
        <w:spacing w:line="360" w:lineRule="auto"/>
        <w:ind w:firstLine="480" w:firstLineChars="200"/>
        <w:rPr>
          <w:rFonts w:eastAsia="仿宋_GB2312"/>
          <w:color w:val="auto"/>
          <w:sz w:val="24"/>
        </w:rPr>
      </w:pPr>
      <w:r>
        <w:rPr>
          <w:rFonts w:eastAsia="仿宋_GB2312"/>
          <w:color w:val="auto"/>
          <w:sz w:val="24"/>
        </w:rPr>
        <w:t>（3）了解游戏设计的各种表现语言、理论、应用前景和发展动态；</w:t>
      </w:r>
    </w:p>
    <w:p>
      <w:pPr>
        <w:adjustRightInd w:val="0"/>
        <w:snapToGrid w:val="0"/>
        <w:spacing w:line="360" w:lineRule="auto"/>
        <w:ind w:firstLine="480" w:firstLineChars="200"/>
        <w:rPr>
          <w:rFonts w:eastAsia="仿宋_GB2312"/>
          <w:color w:val="auto"/>
          <w:sz w:val="24"/>
        </w:rPr>
      </w:pPr>
      <w:r>
        <w:rPr>
          <w:rFonts w:eastAsia="仿宋_GB2312"/>
          <w:color w:val="auto"/>
          <w:sz w:val="24"/>
        </w:rPr>
        <w:t>（4）具有良好的职业素养，具有责任和诚信意识，具备创新和创业能力。</w:t>
      </w:r>
    </w:p>
    <w:p>
      <w:pPr>
        <w:adjustRightInd w:val="0"/>
        <w:snapToGrid w:val="0"/>
        <w:spacing w:line="360" w:lineRule="auto"/>
        <w:ind w:firstLine="480" w:firstLineChars="200"/>
        <w:rPr>
          <w:rFonts w:eastAsia="仿宋_GB2312"/>
          <w:color w:val="auto"/>
          <w:sz w:val="24"/>
        </w:rPr>
      </w:pPr>
      <w:r>
        <w:rPr>
          <w:rFonts w:eastAsia="仿宋_GB2312"/>
          <w:color w:val="auto"/>
          <w:sz w:val="24"/>
        </w:rPr>
        <w:t>毕业完成的艺术创作作品充分体现培养目标的设计要求，作品的质量层次达到行业入门基本标准。</w:t>
      </w:r>
    </w:p>
    <w:p>
      <w:pPr>
        <w:spacing w:after="120" w:afterLines="50" w:line="500" w:lineRule="exact"/>
        <w:jc w:val="center"/>
        <w:rPr>
          <w:rFonts w:eastAsia="黑体"/>
          <w:bCs/>
          <w:color w:val="auto"/>
          <w:sz w:val="28"/>
          <w:szCs w:val="28"/>
        </w:rPr>
      </w:pPr>
      <w:r>
        <w:rPr>
          <w:rFonts w:eastAsia="黑体"/>
          <w:bCs/>
          <w:color w:val="auto"/>
          <w:sz w:val="28"/>
          <w:szCs w:val="28"/>
        </w:rPr>
        <w:t>毕业要求对培养目标的支撑矩阵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1"/>
        <w:gridCol w:w="1468"/>
        <w:gridCol w:w="1470"/>
        <w:gridCol w:w="1470"/>
        <w:gridCol w:w="147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111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jc w:val="center"/>
              <w:rPr>
                <w:rFonts w:eastAsia="仿宋_GB2312"/>
                <w:b/>
                <w:color w:val="auto"/>
                <w:sz w:val="18"/>
                <w:szCs w:val="18"/>
              </w:rPr>
            </w:pPr>
            <w:r>
              <w:rPr>
                <w:rFonts w:eastAsia="仿宋_GB2312"/>
                <w:b/>
                <w:color w:val="auto"/>
                <w:sz w:val="18"/>
                <w:szCs w:val="18"/>
              </w:rPr>
              <w:t>毕业要求</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rPr>
                <w:rFonts w:eastAsia="仿宋_GB2312"/>
                <w:b/>
                <w:color w:val="auto"/>
                <w:sz w:val="18"/>
                <w:szCs w:val="18"/>
              </w:rPr>
            </w:pPr>
            <w:r>
              <w:rPr>
                <w:rFonts w:eastAsia="仿宋_GB2312"/>
                <w:b/>
                <w:color w:val="auto"/>
                <w:sz w:val="18"/>
                <w:szCs w:val="18"/>
              </w:rPr>
              <w:t>目标1：</w:t>
            </w:r>
            <w:r>
              <w:rPr>
                <w:rFonts w:eastAsia="仿宋_GB2312"/>
                <w:color w:val="auto"/>
                <w:sz w:val="18"/>
                <w:szCs w:val="18"/>
              </w:rPr>
              <w:t>具有国家和社会有高度责任感</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rPr>
                <w:rFonts w:eastAsia="仿宋_GB2312"/>
                <w:b/>
                <w:color w:val="auto"/>
                <w:sz w:val="18"/>
                <w:szCs w:val="18"/>
              </w:rPr>
            </w:pPr>
            <w:r>
              <w:rPr>
                <w:rFonts w:eastAsia="仿宋_GB2312"/>
                <w:b/>
                <w:color w:val="auto"/>
                <w:sz w:val="18"/>
                <w:szCs w:val="18"/>
              </w:rPr>
              <w:t>目标2：</w:t>
            </w:r>
            <w:r>
              <w:rPr>
                <w:rFonts w:eastAsia="仿宋_GB2312"/>
                <w:color w:val="auto"/>
                <w:sz w:val="18"/>
                <w:szCs w:val="18"/>
              </w:rPr>
              <w:t>具备良好的科学文化、人文艺术素养和创新精神以及一定的国际化视野</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rPr>
                <w:rFonts w:eastAsia="仿宋_GB2312"/>
                <w:b/>
                <w:color w:val="auto"/>
                <w:sz w:val="18"/>
                <w:szCs w:val="18"/>
              </w:rPr>
            </w:pPr>
            <w:r>
              <w:rPr>
                <w:rFonts w:eastAsia="仿宋_GB2312"/>
                <w:b/>
                <w:color w:val="auto"/>
                <w:sz w:val="18"/>
                <w:szCs w:val="18"/>
              </w:rPr>
              <w:t>目标3：</w:t>
            </w:r>
            <w:r>
              <w:rPr>
                <w:rFonts w:eastAsia="仿宋_GB2312"/>
                <w:bCs/>
                <w:color w:val="auto"/>
                <w:sz w:val="18"/>
                <w:szCs w:val="18"/>
              </w:rPr>
              <w:t>具备游戏设计艺术的基本</w:t>
            </w:r>
            <w:r>
              <w:rPr>
                <w:rFonts w:eastAsia="仿宋_GB2312"/>
                <w:color w:val="auto"/>
                <w:sz w:val="18"/>
                <w:szCs w:val="18"/>
              </w:rPr>
              <w:t>理论、知识和技能技巧</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rPr>
                <w:rFonts w:eastAsia="仿宋_GB2312"/>
                <w:b/>
                <w:color w:val="auto"/>
                <w:sz w:val="18"/>
                <w:szCs w:val="18"/>
              </w:rPr>
            </w:pPr>
            <w:r>
              <w:rPr>
                <w:rFonts w:eastAsia="仿宋_GB2312"/>
                <w:b/>
                <w:color w:val="auto"/>
                <w:sz w:val="18"/>
                <w:szCs w:val="18"/>
              </w:rPr>
              <w:t>目标4：</w:t>
            </w:r>
            <w:r>
              <w:rPr>
                <w:rFonts w:eastAsia="仿宋_GB2312"/>
                <w:color w:val="auto"/>
                <w:sz w:val="18"/>
                <w:szCs w:val="18"/>
              </w:rPr>
              <w:t>具备从事游戏行业设计、运营与管理的基本能力</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rPr>
                <w:rFonts w:eastAsia="仿宋_GB2312"/>
                <w:b/>
                <w:color w:val="auto"/>
                <w:sz w:val="18"/>
                <w:szCs w:val="18"/>
              </w:rPr>
            </w:pPr>
            <w:r>
              <w:rPr>
                <w:rFonts w:eastAsia="仿宋_GB2312"/>
                <w:b/>
                <w:color w:val="auto"/>
                <w:sz w:val="18"/>
                <w:szCs w:val="18"/>
              </w:rPr>
              <w:t>目标5：</w:t>
            </w:r>
            <w:r>
              <w:rPr>
                <w:rFonts w:eastAsia="仿宋_GB2312"/>
                <w:color w:val="auto"/>
                <w:sz w:val="18"/>
                <w:szCs w:val="18"/>
              </w:rPr>
              <w:t>具备良好的职业素养，具备持续学习、终身学习的能力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毕业要求1：</w:t>
            </w:r>
          </w:p>
          <w:p>
            <w:pPr>
              <w:spacing w:line="260" w:lineRule="exact"/>
              <w:jc w:val="center"/>
              <w:rPr>
                <w:rFonts w:eastAsia="仿宋_GB2312"/>
                <w:color w:val="auto"/>
                <w:sz w:val="18"/>
                <w:szCs w:val="18"/>
              </w:rPr>
            </w:pPr>
            <w:r>
              <w:rPr>
                <w:rFonts w:eastAsia="仿宋_GB2312"/>
                <w:color w:val="auto"/>
                <w:sz w:val="18"/>
                <w:szCs w:val="18"/>
              </w:rPr>
              <w:t>国际化视野</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b/>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毕业要求2：</w:t>
            </w:r>
          </w:p>
          <w:p>
            <w:pPr>
              <w:spacing w:line="260" w:lineRule="exact"/>
              <w:jc w:val="center"/>
              <w:rPr>
                <w:rFonts w:eastAsia="仿宋_GB2312"/>
                <w:color w:val="auto"/>
                <w:sz w:val="18"/>
                <w:szCs w:val="18"/>
              </w:rPr>
            </w:pPr>
            <w:r>
              <w:rPr>
                <w:rFonts w:eastAsia="仿宋_GB2312"/>
                <w:color w:val="auto"/>
                <w:sz w:val="18"/>
                <w:szCs w:val="18"/>
              </w:rPr>
              <w:t>基本理论</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毕业要求3：</w:t>
            </w:r>
          </w:p>
          <w:p>
            <w:pPr>
              <w:spacing w:line="260" w:lineRule="exact"/>
              <w:jc w:val="center"/>
              <w:rPr>
                <w:rFonts w:eastAsia="仿宋_GB2312"/>
                <w:color w:val="auto"/>
                <w:sz w:val="18"/>
                <w:szCs w:val="18"/>
              </w:rPr>
            </w:pPr>
            <w:r>
              <w:rPr>
                <w:rFonts w:eastAsia="仿宋_GB2312"/>
                <w:color w:val="auto"/>
                <w:sz w:val="18"/>
                <w:szCs w:val="18"/>
              </w:rPr>
              <w:t>行业规范</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毕业要求4：</w:t>
            </w:r>
          </w:p>
          <w:p>
            <w:pPr>
              <w:spacing w:line="260" w:lineRule="exact"/>
              <w:jc w:val="center"/>
              <w:rPr>
                <w:rFonts w:eastAsia="仿宋_GB2312"/>
                <w:color w:val="auto"/>
                <w:sz w:val="18"/>
                <w:szCs w:val="18"/>
              </w:rPr>
            </w:pPr>
            <w:r>
              <w:rPr>
                <w:rFonts w:eastAsia="仿宋_GB2312"/>
                <w:color w:val="auto"/>
                <w:sz w:val="18"/>
                <w:szCs w:val="18"/>
              </w:rPr>
              <w:t>跨界及专业融合</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毕业要求5：</w:t>
            </w:r>
          </w:p>
          <w:p>
            <w:pPr>
              <w:spacing w:line="260" w:lineRule="exact"/>
              <w:jc w:val="center"/>
              <w:rPr>
                <w:rFonts w:eastAsia="仿宋_GB2312"/>
                <w:color w:val="auto"/>
                <w:sz w:val="18"/>
                <w:szCs w:val="18"/>
              </w:rPr>
            </w:pPr>
            <w:r>
              <w:rPr>
                <w:rFonts w:eastAsia="仿宋_GB2312"/>
                <w:color w:val="auto"/>
                <w:sz w:val="18"/>
                <w:szCs w:val="18"/>
              </w:rPr>
              <w:t>基础表现</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毕业要求6：</w:t>
            </w:r>
          </w:p>
          <w:p>
            <w:pPr>
              <w:spacing w:line="260" w:lineRule="exact"/>
              <w:jc w:val="center"/>
              <w:rPr>
                <w:rFonts w:eastAsia="仿宋_GB2312"/>
                <w:color w:val="auto"/>
                <w:sz w:val="18"/>
                <w:szCs w:val="18"/>
              </w:rPr>
            </w:pPr>
            <w:r>
              <w:rPr>
                <w:rFonts w:eastAsia="仿宋_GB2312"/>
                <w:color w:val="auto"/>
                <w:sz w:val="18"/>
                <w:szCs w:val="18"/>
              </w:rPr>
              <w:t>设计制作</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毕业要求7：</w:t>
            </w:r>
          </w:p>
          <w:p>
            <w:pPr>
              <w:spacing w:line="260" w:lineRule="exact"/>
              <w:jc w:val="center"/>
              <w:rPr>
                <w:rFonts w:eastAsia="仿宋_GB2312"/>
                <w:color w:val="auto"/>
                <w:sz w:val="18"/>
                <w:szCs w:val="18"/>
              </w:rPr>
            </w:pPr>
            <w:r>
              <w:rPr>
                <w:rFonts w:eastAsia="仿宋_GB2312"/>
                <w:color w:val="auto"/>
                <w:sz w:val="18"/>
                <w:szCs w:val="18"/>
              </w:rPr>
              <w:t>设计开发</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毕业要求8：</w:t>
            </w:r>
          </w:p>
          <w:p>
            <w:pPr>
              <w:spacing w:line="260" w:lineRule="exact"/>
              <w:jc w:val="center"/>
              <w:rPr>
                <w:rFonts w:eastAsia="仿宋_GB2312"/>
                <w:color w:val="auto"/>
                <w:sz w:val="18"/>
                <w:szCs w:val="18"/>
              </w:rPr>
            </w:pPr>
            <w:r>
              <w:rPr>
                <w:rFonts w:eastAsia="仿宋_GB2312"/>
                <w:color w:val="auto"/>
                <w:sz w:val="18"/>
                <w:szCs w:val="18"/>
              </w:rPr>
              <w:t>设计整合</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毕业要求9：</w:t>
            </w:r>
          </w:p>
          <w:p>
            <w:pPr>
              <w:spacing w:line="260" w:lineRule="exact"/>
              <w:jc w:val="center"/>
              <w:rPr>
                <w:rFonts w:eastAsia="仿宋_GB2312"/>
                <w:color w:val="auto"/>
                <w:sz w:val="18"/>
                <w:szCs w:val="18"/>
              </w:rPr>
            </w:pPr>
            <w:r>
              <w:rPr>
                <w:rFonts w:eastAsia="仿宋_GB2312"/>
                <w:color w:val="auto"/>
                <w:sz w:val="18"/>
                <w:szCs w:val="18"/>
              </w:rPr>
              <w:t>人文与品德修养</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毕业要求10：</w:t>
            </w:r>
          </w:p>
          <w:p>
            <w:pPr>
              <w:spacing w:line="260" w:lineRule="exact"/>
              <w:jc w:val="center"/>
              <w:rPr>
                <w:rFonts w:eastAsia="仿宋_GB2312"/>
                <w:color w:val="auto"/>
                <w:sz w:val="18"/>
                <w:szCs w:val="18"/>
              </w:rPr>
            </w:pPr>
            <w:r>
              <w:rPr>
                <w:rFonts w:eastAsia="仿宋_GB2312"/>
                <w:color w:val="auto"/>
                <w:sz w:val="18"/>
                <w:szCs w:val="18"/>
              </w:rPr>
              <w:t>艺术修养</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毕业要求11：</w:t>
            </w:r>
          </w:p>
          <w:p>
            <w:pPr>
              <w:spacing w:line="260" w:lineRule="exact"/>
              <w:jc w:val="center"/>
              <w:rPr>
                <w:rFonts w:eastAsia="仿宋_GB2312"/>
                <w:color w:val="auto"/>
                <w:sz w:val="18"/>
                <w:szCs w:val="18"/>
              </w:rPr>
            </w:pPr>
            <w:r>
              <w:rPr>
                <w:rFonts w:eastAsia="仿宋_GB2312"/>
                <w:color w:val="auto"/>
                <w:sz w:val="18"/>
                <w:szCs w:val="18"/>
              </w:rPr>
              <w:t>职业素养</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毕业要求12：</w:t>
            </w:r>
          </w:p>
          <w:p>
            <w:pPr>
              <w:spacing w:line="260" w:lineRule="exact"/>
              <w:jc w:val="center"/>
              <w:rPr>
                <w:rFonts w:eastAsia="仿宋_GB2312"/>
                <w:color w:val="auto"/>
                <w:sz w:val="18"/>
                <w:szCs w:val="18"/>
              </w:rPr>
            </w:pPr>
            <w:r>
              <w:rPr>
                <w:rFonts w:eastAsia="仿宋_GB2312"/>
                <w:color w:val="auto"/>
                <w:sz w:val="18"/>
                <w:szCs w:val="18"/>
              </w:rPr>
              <w:t>终身学习</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 w:val="18"/>
                <w:szCs w:val="18"/>
              </w:rPr>
            </w:pPr>
            <w:r>
              <w:rPr>
                <w:rFonts w:eastAsia="仿宋_GB2312"/>
                <w:color w:val="auto"/>
                <w:sz w:val="18"/>
                <w:szCs w:val="18"/>
              </w:rPr>
              <w:t>√</w:t>
            </w:r>
          </w:p>
        </w:tc>
      </w:tr>
    </w:tbl>
    <w:p>
      <w:pPr>
        <w:adjustRightInd w:val="0"/>
        <w:snapToGrid w:val="0"/>
        <w:spacing w:line="600" w:lineRule="exact"/>
        <w:ind w:firstLine="482" w:firstLineChars="200"/>
        <w:outlineLvl w:val="0"/>
        <w:rPr>
          <w:rFonts w:eastAsia="楷体_GB2312"/>
          <w:b/>
          <w:color w:val="auto"/>
          <w:sz w:val="24"/>
        </w:rPr>
      </w:pPr>
    </w:p>
    <w:p>
      <w:pPr>
        <w:adjustRightInd w:val="0"/>
        <w:snapToGrid w:val="0"/>
        <w:spacing w:line="600" w:lineRule="exact"/>
        <w:ind w:firstLine="482" w:firstLineChars="200"/>
        <w:outlineLvl w:val="0"/>
        <w:rPr>
          <w:rFonts w:eastAsia="楷体_GB2312"/>
          <w:b/>
          <w:color w:val="auto"/>
          <w:sz w:val="24"/>
        </w:rPr>
      </w:pPr>
    </w:p>
    <w:p>
      <w:pPr>
        <w:adjustRightInd w:val="0"/>
        <w:snapToGrid w:val="0"/>
        <w:spacing w:line="600" w:lineRule="exact"/>
        <w:ind w:firstLine="482" w:firstLineChars="200"/>
        <w:outlineLvl w:val="0"/>
        <w:rPr>
          <w:rFonts w:eastAsia="楷体_GB2312"/>
          <w:b/>
          <w:color w:val="auto"/>
          <w:sz w:val="24"/>
        </w:rPr>
      </w:pPr>
      <w:r>
        <w:rPr>
          <w:rFonts w:eastAsia="楷体_GB2312"/>
          <w:b/>
          <w:color w:val="auto"/>
          <w:sz w:val="24"/>
        </w:rPr>
        <w:t>（二）开设课程体系与培养要求的对应关系矩阵</w:t>
      </w:r>
    </w:p>
    <w:p>
      <w:pPr>
        <w:widowControl/>
        <w:adjustRightInd w:val="0"/>
        <w:snapToGrid w:val="0"/>
        <w:spacing w:after="108" w:afterLines="45" w:line="600" w:lineRule="exact"/>
        <w:jc w:val="center"/>
        <w:outlineLvl w:val="0"/>
        <w:rPr>
          <w:rFonts w:eastAsia="黑体"/>
          <w:bCs/>
          <w:color w:val="auto"/>
          <w:sz w:val="24"/>
        </w:rPr>
      </w:pPr>
      <w:r>
        <w:rPr>
          <w:rFonts w:eastAsia="黑体"/>
          <w:bCs/>
          <w:color w:val="auto"/>
          <w:sz w:val="24"/>
        </w:rPr>
        <w:t>动画专业（游戏设计方向）课程与毕业要求对应关系矩阵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4"/>
        <w:gridCol w:w="482"/>
        <w:gridCol w:w="503"/>
        <w:gridCol w:w="503"/>
        <w:gridCol w:w="533"/>
        <w:gridCol w:w="503"/>
        <w:gridCol w:w="503"/>
        <w:gridCol w:w="503"/>
        <w:gridCol w:w="503"/>
        <w:gridCol w:w="503"/>
        <w:gridCol w:w="503"/>
        <w:gridCol w:w="504"/>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1069" w:type="pct"/>
            <w:gridSpan w:val="4"/>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知识要求</w:t>
            </w:r>
          </w:p>
        </w:tc>
        <w:tc>
          <w:tcPr>
            <w:tcW w:w="1064" w:type="pct"/>
            <w:gridSpan w:val="4"/>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能力要求</w:t>
            </w:r>
          </w:p>
        </w:tc>
        <w:tc>
          <w:tcPr>
            <w:tcW w:w="1083" w:type="pct"/>
            <w:gridSpan w:val="4"/>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Merge w:val="continue"/>
            <w:vAlign w:val="center"/>
          </w:tcPr>
          <w:p>
            <w:pPr>
              <w:adjustRightInd w:val="0"/>
              <w:snapToGrid w:val="0"/>
              <w:spacing w:line="240" w:lineRule="exact"/>
              <w:jc w:val="left"/>
              <w:rPr>
                <w:rFonts w:eastAsia="仿宋_GB2312"/>
                <w:b/>
                <w:color w:val="auto"/>
                <w:sz w:val="18"/>
                <w:szCs w:val="18"/>
              </w:rPr>
            </w:pPr>
          </w:p>
        </w:tc>
        <w:tc>
          <w:tcPr>
            <w:tcW w:w="255"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毕业要求1</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2</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3</w:t>
            </w:r>
          </w:p>
        </w:tc>
        <w:tc>
          <w:tcPr>
            <w:tcW w:w="282"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4</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1</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2</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毕业要求3</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毕业要求4</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1</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毕业要求2</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毕业要求3</w:t>
            </w:r>
          </w:p>
        </w:tc>
        <w:tc>
          <w:tcPr>
            <w:tcW w:w="285"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马克思主义基本原理概论</w:t>
            </w:r>
          </w:p>
        </w:tc>
        <w:tc>
          <w:tcPr>
            <w:tcW w:w="255"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5"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思想道德修养与法律基础</w:t>
            </w:r>
          </w:p>
        </w:tc>
        <w:tc>
          <w:tcPr>
            <w:tcW w:w="255"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5"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中国近现代史纲要</w:t>
            </w:r>
          </w:p>
        </w:tc>
        <w:tc>
          <w:tcPr>
            <w:tcW w:w="255"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5"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毛泽东思想和中国特色社会主义理论体系概论</w:t>
            </w:r>
          </w:p>
        </w:tc>
        <w:tc>
          <w:tcPr>
            <w:tcW w:w="255"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5"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形势与政策</w:t>
            </w:r>
          </w:p>
        </w:tc>
        <w:tc>
          <w:tcPr>
            <w:tcW w:w="255"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M</w:t>
            </w:r>
          </w:p>
        </w:tc>
        <w:tc>
          <w:tcPr>
            <w:tcW w:w="285"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255"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85"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255"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85"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大学生职业生涯规划</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创业基础</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军事理论</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造型基础</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影视色彩</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数字游戏概论</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动画导演与剧本创作</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动画设计导论（游戏设计方向）</w:t>
            </w:r>
          </w:p>
        </w:tc>
        <w:tc>
          <w:tcPr>
            <w:tcW w:w="25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jc w:val="center"/>
              <w:rPr>
                <w:rFonts w:eastAsia="仿宋_GB2312"/>
                <w:color w:val="auto"/>
                <w:kern w:val="0"/>
                <w:sz w:val="18"/>
                <w:szCs w:val="18"/>
              </w:rPr>
            </w:pPr>
          </w:p>
        </w:tc>
        <w:tc>
          <w:tcPr>
            <w:tcW w:w="266" w:type="pct"/>
            <w:vAlign w:val="center"/>
          </w:tcPr>
          <w:p>
            <w:pPr>
              <w:widowControl/>
              <w:jc w:val="center"/>
              <w:rPr>
                <w:rFonts w:eastAsia="仿宋_GB2312"/>
                <w:color w:val="auto"/>
                <w:kern w:val="0"/>
                <w:sz w:val="18"/>
                <w:szCs w:val="18"/>
              </w:rPr>
            </w:pPr>
          </w:p>
        </w:tc>
        <w:tc>
          <w:tcPr>
            <w:tcW w:w="282" w:type="pct"/>
            <w:vAlign w:val="center"/>
          </w:tcPr>
          <w:p>
            <w:pPr>
              <w:widowControl/>
              <w:jc w:val="center"/>
              <w:rPr>
                <w:rFonts w:eastAsia="仿宋_GB2312"/>
                <w:color w:val="auto"/>
                <w:kern w:val="0"/>
                <w:sz w:val="18"/>
                <w:szCs w:val="18"/>
              </w:rPr>
            </w:pPr>
          </w:p>
        </w:tc>
        <w:tc>
          <w:tcPr>
            <w:tcW w:w="266" w:type="pct"/>
            <w:vAlign w:val="center"/>
          </w:tcPr>
          <w:p>
            <w:pPr>
              <w:widowControl/>
              <w:jc w:val="center"/>
              <w:rPr>
                <w:rFonts w:eastAsia="仿宋_GB2312"/>
                <w:color w:val="auto"/>
                <w:kern w:val="0"/>
                <w:sz w:val="18"/>
                <w:szCs w:val="18"/>
              </w:rPr>
            </w:pPr>
          </w:p>
        </w:tc>
        <w:tc>
          <w:tcPr>
            <w:tcW w:w="266"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6"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26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jc w:val="center"/>
              <w:rPr>
                <w:rFonts w:eastAsia="仿宋_GB2312"/>
                <w:color w:val="auto"/>
                <w:kern w:val="0"/>
                <w:sz w:val="18"/>
                <w:szCs w:val="18"/>
              </w:rPr>
            </w:pPr>
          </w:p>
        </w:tc>
        <w:tc>
          <w:tcPr>
            <w:tcW w:w="266"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雕塑</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动画速写</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动画分镜头设计</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动画运动规律</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三维造型</w:t>
            </w:r>
          </w:p>
        </w:tc>
        <w:tc>
          <w:tcPr>
            <w:tcW w:w="255"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85" w:type="pct"/>
            <w:vAlign w:val="center"/>
          </w:tcPr>
          <w:p>
            <w:pPr>
              <w:widowControl/>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游戏概念设计</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85"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游戏材质和节点技术</w:t>
            </w:r>
          </w:p>
        </w:tc>
        <w:tc>
          <w:tcPr>
            <w:tcW w:w="255"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85" w:type="pct"/>
            <w:vAlign w:val="center"/>
          </w:tcPr>
          <w:p>
            <w:pPr>
              <w:widowControl/>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游戏角色动画</w:t>
            </w:r>
          </w:p>
        </w:tc>
        <w:tc>
          <w:tcPr>
            <w:tcW w:w="255"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85" w:type="pct"/>
            <w:vAlign w:val="center"/>
          </w:tcPr>
          <w:p>
            <w:pPr>
              <w:widowControl/>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游戏关卡设计</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仿宋_GB2312"/>
                <w:color w:val="auto"/>
                <w:kern w:val="0"/>
                <w:sz w:val="18"/>
                <w:szCs w:val="18"/>
              </w:rPr>
              <w:t>M</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85"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三维特效</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仿宋_GB2312"/>
                <w:color w:val="auto"/>
                <w:kern w:val="0"/>
                <w:sz w:val="18"/>
                <w:szCs w:val="18"/>
              </w:rPr>
              <w:t>M</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85"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游戏引擎设计</w:t>
            </w:r>
          </w:p>
        </w:tc>
        <w:tc>
          <w:tcPr>
            <w:tcW w:w="255"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82"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66" w:type="pct"/>
            <w:vAlign w:val="center"/>
          </w:tcPr>
          <w:p>
            <w:pPr>
              <w:widowControl/>
              <w:adjustRightInd w:val="0"/>
              <w:snapToGrid w:val="0"/>
              <w:spacing w:line="240" w:lineRule="exact"/>
              <w:jc w:val="center"/>
              <w:rPr>
                <w:rFonts w:eastAsia="仿宋_GB2312"/>
                <w:bCs/>
                <w:color w:val="auto"/>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bCs/>
                <w:color w:val="auto"/>
                <w:sz w:val="18"/>
                <w:szCs w:val="18"/>
              </w:rPr>
            </w:pPr>
          </w:p>
        </w:tc>
        <w:tc>
          <w:tcPr>
            <w:tcW w:w="285" w:type="pct"/>
            <w:vAlign w:val="center"/>
          </w:tcPr>
          <w:p>
            <w:pPr>
              <w:widowControl/>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劳动实践</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入学教育、军训（含军事技能）</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毕业教育</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大学生体制健康测试</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第二课堂实践</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《创业基础》实践</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思想政治理论课综合实践</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《大学生心理健康教育》实践</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大学生就业指导</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动画专业（游戏设计方向）科研训练与课程论文</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综合写生课程教学实习</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艺术综合考察课程教学实习</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游戏概念设计实习</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游戏材质和节点技术</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游戏角色动画实习</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游戏关卡设计实习</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5"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动画专业（游戏设计方向）综合实习</w:t>
            </w:r>
          </w:p>
        </w:tc>
        <w:tc>
          <w:tcPr>
            <w:tcW w:w="25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动画专业（游戏设计方向）毕业实习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L</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widowControl/>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动画专业（游戏设计方向）毕业论文（设计）</w:t>
            </w:r>
          </w:p>
        </w:tc>
        <w:tc>
          <w:tcPr>
            <w:tcW w:w="255"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82"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6" w:type="pct"/>
            <w:vAlign w:val="center"/>
          </w:tcPr>
          <w:p>
            <w:pPr>
              <w:widowControl/>
              <w:adjustRightInd w:val="0"/>
              <w:snapToGrid w:val="0"/>
              <w:spacing w:line="240" w:lineRule="exact"/>
              <w:jc w:val="center"/>
              <w:rPr>
                <w:rFonts w:eastAsia="仿宋_GB2312"/>
                <w:color w:val="auto"/>
                <w:kern w:val="0"/>
                <w:sz w:val="18"/>
                <w:szCs w:val="18"/>
              </w:rPr>
            </w:pPr>
          </w:p>
        </w:tc>
        <w:tc>
          <w:tcPr>
            <w:tcW w:w="266"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M</w:t>
            </w:r>
          </w:p>
        </w:tc>
        <w:tc>
          <w:tcPr>
            <w:tcW w:w="285"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L</w:t>
            </w:r>
          </w:p>
        </w:tc>
      </w:tr>
    </w:tbl>
    <w:p>
      <w:pPr>
        <w:adjustRightInd w:val="0"/>
        <w:spacing w:line="600" w:lineRule="exact"/>
        <w:ind w:firstLine="560" w:firstLineChars="200"/>
        <w:rPr>
          <w:rFonts w:eastAsia="黑体"/>
          <w:bCs/>
          <w:color w:val="auto"/>
          <w:sz w:val="28"/>
          <w:szCs w:val="28"/>
        </w:rPr>
      </w:pPr>
    </w:p>
    <w:p>
      <w:pPr>
        <w:adjustRightInd w:val="0"/>
        <w:spacing w:line="600" w:lineRule="exact"/>
        <w:ind w:firstLine="560" w:firstLineChars="200"/>
        <w:rPr>
          <w:rFonts w:eastAsia="黑体"/>
          <w:bCs/>
          <w:color w:val="auto"/>
          <w:sz w:val="28"/>
          <w:szCs w:val="28"/>
        </w:rPr>
      </w:pPr>
    </w:p>
    <w:p>
      <w:pPr>
        <w:adjustRightInd w:val="0"/>
        <w:spacing w:line="600" w:lineRule="exact"/>
        <w:ind w:firstLine="560" w:firstLineChars="200"/>
        <w:rPr>
          <w:rFonts w:eastAsia="黑体"/>
          <w:bCs/>
          <w:color w:val="auto"/>
          <w:sz w:val="28"/>
          <w:szCs w:val="28"/>
        </w:rPr>
      </w:pPr>
      <w:r>
        <w:rPr>
          <w:rFonts w:eastAsia="黑体"/>
          <w:bCs/>
          <w:color w:val="auto"/>
          <w:sz w:val="28"/>
          <w:szCs w:val="28"/>
        </w:rPr>
        <w:t>四、课程设置</w:t>
      </w:r>
    </w:p>
    <w:p>
      <w:pPr>
        <w:adjustRightInd w:val="0"/>
        <w:spacing w:line="520" w:lineRule="exact"/>
        <w:ind w:firstLine="482" w:firstLineChars="200"/>
        <w:outlineLvl w:val="0"/>
        <w:rPr>
          <w:rFonts w:eastAsia="楷体_GB2312"/>
          <w:b/>
          <w:color w:val="auto"/>
          <w:sz w:val="24"/>
        </w:rPr>
      </w:pPr>
      <w:r>
        <w:rPr>
          <w:rFonts w:eastAsia="楷体_GB2312"/>
          <w:b/>
          <w:color w:val="auto"/>
          <w:sz w:val="24"/>
        </w:rPr>
        <w:t>（一）主干学科</w:t>
      </w:r>
    </w:p>
    <w:p>
      <w:pPr>
        <w:adjustRightInd w:val="0"/>
        <w:spacing w:line="520" w:lineRule="exact"/>
        <w:ind w:firstLine="480" w:firstLineChars="200"/>
        <w:rPr>
          <w:rFonts w:eastAsia="仿宋_GB2312"/>
          <w:color w:val="auto"/>
          <w:kern w:val="0"/>
          <w:sz w:val="24"/>
        </w:rPr>
      </w:pPr>
      <w:r>
        <w:rPr>
          <w:rFonts w:eastAsia="仿宋_GB2312"/>
          <w:color w:val="auto"/>
          <w:sz w:val="24"/>
        </w:rPr>
        <w:t>本专业主要涉及艺术学学科门类，涉及到的主干学科有</w:t>
      </w:r>
      <w:r>
        <w:rPr>
          <w:rFonts w:hint="eastAsia" w:eastAsia="仿宋_GB2312"/>
          <w:color w:val="auto"/>
          <w:sz w:val="24"/>
        </w:rPr>
        <w:t>电影学、戏剧学、美术学、设计学、艺术学理论</w:t>
      </w:r>
      <w:r>
        <w:rPr>
          <w:rFonts w:eastAsia="仿宋_GB2312"/>
          <w:color w:val="auto"/>
          <w:sz w:val="24"/>
        </w:rPr>
        <w:t>等学科密切相关。</w:t>
      </w:r>
    </w:p>
    <w:p>
      <w:pPr>
        <w:adjustRightInd w:val="0"/>
        <w:spacing w:line="520" w:lineRule="exact"/>
        <w:ind w:firstLine="482" w:firstLineChars="200"/>
        <w:outlineLvl w:val="0"/>
        <w:rPr>
          <w:rFonts w:eastAsia="楷体_GB2312"/>
          <w:b/>
          <w:color w:val="auto"/>
          <w:sz w:val="24"/>
        </w:rPr>
      </w:pPr>
      <w:r>
        <w:rPr>
          <w:rFonts w:eastAsia="楷体_GB2312"/>
          <w:b/>
          <w:color w:val="auto"/>
          <w:sz w:val="24"/>
        </w:rPr>
        <w:t>（二）核心课程及主要实践性教学环节</w:t>
      </w:r>
    </w:p>
    <w:p>
      <w:pPr>
        <w:adjustRightInd w:val="0"/>
        <w:spacing w:line="520" w:lineRule="exact"/>
        <w:ind w:firstLine="480" w:firstLineChars="200"/>
        <w:rPr>
          <w:rFonts w:eastAsia="仿宋_GB2312"/>
          <w:color w:val="auto"/>
          <w:sz w:val="24"/>
        </w:rPr>
      </w:pPr>
      <w:r>
        <w:rPr>
          <w:rFonts w:eastAsia="仿宋_GB2312"/>
          <w:color w:val="auto"/>
          <w:sz w:val="24"/>
        </w:rPr>
        <w:t>核心课程：三维造型、动画运动规律、游戏材质和节点技术、游戏关卡设计、游戏角色动画、影视特效、动画概念设计、游戏引擎设计。</w:t>
      </w:r>
    </w:p>
    <w:p>
      <w:pPr>
        <w:adjustRightInd w:val="0"/>
        <w:spacing w:line="520" w:lineRule="exact"/>
        <w:ind w:firstLine="480" w:firstLineChars="200"/>
        <w:rPr>
          <w:rFonts w:eastAsia="仿宋_GB2312"/>
          <w:color w:val="auto"/>
          <w:sz w:val="24"/>
        </w:rPr>
      </w:pPr>
      <w:r>
        <w:rPr>
          <w:rFonts w:eastAsia="仿宋_GB2312"/>
          <w:color w:val="auto"/>
          <w:sz w:val="24"/>
        </w:rPr>
        <w:t>主要实践性教学环节：</w:t>
      </w:r>
      <w:r>
        <w:rPr>
          <w:rFonts w:eastAsia="仿宋_GB2312"/>
          <w:color w:val="auto"/>
          <w:sz w:val="24"/>
        </w:rPr>
        <w:t>综合写生、动画(游戏设计方向)专业考察、动画(游戏设计方向)专业综合实习等</w:t>
      </w:r>
      <w:r>
        <w:rPr>
          <w:rFonts w:eastAsia="仿宋_GB2312"/>
          <w:color w:val="auto"/>
          <w:sz w:val="24"/>
        </w:rPr>
        <w:t>展开产学联合实践教学，积极完善实训教学体系，加强大学生创新创业能力培养，扩大覆盖面，促进项目落地转化。</w:t>
      </w:r>
    </w:p>
    <w:p>
      <w:pPr>
        <w:numPr>
          <w:ilvl w:val="0"/>
          <w:numId w:val="1"/>
        </w:numPr>
        <w:adjustRightInd w:val="0"/>
        <w:spacing w:line="520" w:lineRule="exact"/>
        <w:ind w:firstLine="562"/>
        <w:outlineLvl w:val="0"/>
        <w:rPr>
          <w:rFonts w:eastAsia="楷体_GB2312"/>
          <w:b/>
          <w:color w:val="auto"/>
          <w:sz w:val="28"/>
          <w:szCs w:val="28"/>
        </w:rPr>
      </w:pPr>
      <w:r>
        <w:rPr>
          <w:rFonts w:eastAsia="楷体_GB2312"/>
          <w:b/>
          <w:color w:val="auto"/>
          <w:sz w:val="24"/>
        </w:rPr>
        <w:t>课程体系及所占比例</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
        <w:gridCol w:w="1591"/>
        <w:gridCol w:w="1653"/>
        <w:gridCol w:w="861"/>
        <w:gridCol w:w="2958"/>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485" w:type="pct"/>
            <w:gridSpan w:val="4"/>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1564" w:type="pct"/>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951" w:type="pct"/>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5" w:type="pct"/>
            <w:vMerge w:val="restart"/>
            <w:textDirection w:val="tbRlV"/>
            <w:vAlign w:val="center"/>
          </w:tcPr>
          <w:p>
            <w:pPr>
              <w:adjustRightInd w:val="0"/>
              <w:snapToGrid w:val="0"/>
              <w:ind w:left="113" w:right="113"/>
              <w:jc w:val="center"/>
              <w:textAlignment w:val="center"/>
              <w:rPr>
                <w:rFonts w:eastAsia="仿宋_GB2312"/>
                <w:color w:val="auto"/>
                <w:szCs w:val="21"/>
              </w:rPr>
            </w:pPr>
            <w:r>
              <w:rPr>
                <w:rFonts w:eastAsia="仿宋_GB2312"/>
                <w:color w:val="auto"/>
                <w:szCs w:val="21"/>
              </w:rPr>
              <w:t>课内教学</w:t>
            </w:r>
          </w:p>
        </w:tc>
        <w:tc>
          <w:tcPr>
            <w:tcW w:w="841"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必修课</w:t>
            </w:r>
          </w:p>
          <w:p>
            <w:pPr>
              <w:adjustRightInd w:val="0"/>
              <w:snapToGrid w:val="0"/>
              <w:jc w:val="center"/>
              <w:textAlignment w:val="center"/>
              <w:rPr>
                <w:rFonts w:eastAsia="仿宋_GB2312"/>
                <w:color w:val="auto"/>
                <w:szCs w:val="21"/>
              </w:rPr>
            </w:pPr>
            <w:r>
              <w:rPr>
                <w:rFonts w:eastAsia="仿宋_GB2312"/>
                <w:color w:val="auto"/>
                <w:szCs w:val="21"/>
              </w:rPr>
              <w:t>（89学分）</w:t>
            </w:r>
          </w:p>
        </w:tc>
        <w:tc>
          <w:tcPr>
            <w:tcW w:w="874" w:type="pct"/>
            <w:vAlign w:val="center"/>
          </w:tcPr>
          <w:p>
            <w:pPr>
              <w:adjustRightInd w:val="0"/>
              <w:snapToGrid w:val="0"/>
              <w:jc w:val="center"/>
              <w:textAlignment w:val="center"/>
              <w:rPr>
                <w:rFonts w:eastAsia="仿宋_GB2312"/>
                <w:color w:val="auto"/>
                <w:szCs w:val="21"/>
              </w:rPr>
            </w:pPr>
            <w:r>
              <w:rPr>
                <w:rFonts w:eastAsia="仿宋_GB2312"/>
                <w:color w:val="auto"/>
                <w:szCs w:val="21"/>
              </w:rPr>
              <w:t>通识课程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31.5</w:t>
            </w:r>
          </w:p>
        </w:tc>
        <w:tc>
          <w:tcPr>
            <w:tcW w:w="1564" w:type="pct"/>
            <w:vAlign w:val="center"/>
          </w:tcPr>
          <w:p>
            <w:pPr>
              <w:adjustRightInd w:val="0"/>
              <w:snapToGrid w:val="0"/>
              <w:jc w:val="center"/>
              <w:textAlignment w:val="center"/>
              <w:rPr>
                <w:rFonts w:eastAsia="仿宋_GB2312"/>
                <w:color w:val="auto"/>
                <w:szCs w:val="21"/>
              </w:rPr>
            </w:pPr>
            <w:r>
              <w:rPr>
                <w:rFonts w:eastAsia="仿宋_GB2312"/>
                <w:color w:val="auto"/>
                <w:szCs w:val="21"/>
              </w:rPr>
              <w:t>25.61%</w:t>
            </w:r>
          </w:p>
        </w:tc>
        <w:tc>
          <w:tcPr>
            <w:tcW w:w="951"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5" w:type="pct"/>
            <w:vMerge w:val="continue"/>
            <w:vAlign w:val="center"/>
          </w:tcPr>
          <w:p>
            <w:pPr>
              <w:adjustRightInd w:val="0"/>
              <w:snapToGrid w:val="0"/>
              <w:jc w:val="center"/>
              <w:textAlignment w:val="center"/>
              <w:rPr>
                <w:rFonts w:eastAsia="仿宋_GB2312"/>
                <w:color w:val="auto"/>
                <w:szCs w:val="21"/>
              </w:rPr>
            </w:pPr>
          </w:p>
        </w:tc>
        <w:tc>
          <w:tcPr>
            <w:tcW w:w="841" w:type="pct"/>
            <w:vMerge w:val="continue"/>
            <w:vAlign w:val="center"/>
          </w:tcPr>
          <w:p>
            <w:pPr>
              <w:adjustRightInd w:val="0"/>
              <w:snapToGrid w:val="0"/>
              <w:jc w:val="center"/>
              <w:textAlignment w:val="center"/>
              <w:rPr>
                <w:rFonts w:eastAsia="仿宋_GB2312"/>
                <w:color w:val="auto"/>
                <w:szCs w:val="21"/>
              </w:rPr>
            </w:pPr>
          </w:p>
        </w:tc>
        <w:tc>
          <w:tcPr>
            <w:tcW w:w="874" w:type="pct"/>
            <w:vAlign w:val="center"/>
          </w:tcPr>
          <w:p>
            <w:pPr>
              <w:adjustRightInd w:val="0"/>
              <w:snapToGrid w:val="0"/>
              <w:jc w:val="center"/>
              <w:textAlignment w:val="center"/>
              <w:rPr>
                <w:rFonts w:eastAsia="仿宋_GB2312"/>
                <w:color w:val="auto"/>
                <w:szCs w:val="21"/>
              </w:rPr>
            </w:pPr>
            <w:r>
              <w:rPr>
                <w:rFonts w:eastAsia="仿宋_GB2312"/>
                <w:color w:val="auto"/>
                <w:szCs w:val="21"/>
              </w:rPr>
              <w:t>学科（专业）基础课程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24.5</w:t>
            </w:r>
          </w:p>
        </w:tc>
        <w:tc>
          <w:tcPr>
            <w:tcW w:w="1564" w:type="pct"/>
            <w:vAlign w:val="center"/>
          </w:tcPr>
          <w:p>
            <w:pPr>
              <w:adjustRightInd w:val="0"/>
              <w:snapToGrid w:val="0"/>
              <w:jc w:val="center"/>
              <w:textAlignment w:val="center"/>
              <w:rPr>
                <w:rFonts w:eastAsia="仿宋_GB2312"/>
                <w:color w:val="auto"/>
                <w:szCs w:val="21"/>
              </w:rPr>
            </w:pPr>
            <w:r>
              <w:rPr>
                <w:rFonts w:eastAsia="仿宋_GB2312"/>
                <w:color w:val="auto"/>
                <w:szCs w:val="21"/>
              </w:rPr>
              <w:t>19.92%</w:t>
            </w:r>
          </w:p>
        </w:tc>
        <w:tc>
          <w:tcPr>
            <w:tcW w:w="951"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5" w:type="pct"/>
            <w:vMerge w:val="continue"/>
            <w:vAlign w:val="center"/>
          </w:tcPr>
          <w:p>
            <w:pPr>
              <w:adjustRightInd w:val="0"/>
              <w:snapToGrid w:val="0"/>
              <w:jc w:val="center"/>
              <w:textAlignment w:val="center"/>
              <w:rPr>
                <w:rFonts w:eastAsia="仿宋_GB2312"/>
                <w:color w:val="auto"/>
                <w:szCs w:val="21"/>
              </w:rPr>
            </w:pPr>
          </w:p>
        </w:tc>
        <w:tc>
          <w:tcPr>
            <w:tcW w:w="841" w:type="pct"/>
            <w:vMerge w:val="continue"/>
            <w:vAlign w:val="center"/>
          </w:tcPr>
          <w:p>
            <w:pPr>
              <w:adjustRightInd w:val="0"/>
              <w:snapToGrid w:val="0"/>
              <w:jc w:val="center"/>
              <w:textAlignment w:val="center"/>
              <w:rPr>
                <w:rFonts w:eastAsia="仿宋_GB2312"/>
                <w:color w:val="auto"/>
                <w:szCs w:val="21"/>
              </w:rPr>
            </w:pPr>
          </w:p>
        </w:tc>
        <w:tc>
          <w:tcPr>
            <w:tcW w:w="874" w:type="pct"/>
            <w:vAlign w:val="center"/>
          </w:tcPr>
          <w:p>
            <w:pPr>
              <w:adjustRightInd w:val="0"/>
              <w:snapToGrid w:val="0"/>
              <w:jc w:val="center"/>
              <w:textAlignment w:val="center"/>
              <w:rPr>
                <w:rFonts w:eastAsia="仿宋_GB2312"/>
                <w:color w:val="auto"/>
                <w:szCs w:val="21"/>
              </w:rPr>
            </w:pPr>
            <w:r>
              <w:rPr>
                <w:rFonts w:eastAsia="仿宋_GB2312"/>
                <w:color w:val="auto"/>
                <w:szCs w:val="21"/>
              </w:rPr>
              <w:t>专业课程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33</w:t>
            </w:r>
          </w:p>
        </w:tc>
        <w:tc>
          <w:tcPr>
            <w:tcW w:w="1564" w:type="pct"/>
            <w:vAlign w:val="center"/>
          </w:tcPr>
          <w:p>
            <w:pPr>
              <w:adjustRightInd w:val="0"/>
              <w:snapToGrid w:val="0"/>
              <w:jc w:val="center"/>
              <w:textAlignment w:val="center"/>
              <w:rPr>
                <w:rFonts w:eastAsia="仿宋_GB2312"/>
                <w:color w:val="auto"/>
                <w:szCs w:val="21"/>
              </w:rPr>
            </w:pPr>
            <w:r>
              <w:rPr>
                <w:rFonts w:eastAsia="仿宋_GB2312"/>
                <w:color w:val="auto"/>
                <w:szCs w:val="21"/>
              </w:rPr>
              <w:t>26.83%</w:t>
            </w:r>
          </w:p>
        </w:tc>
        <w:tc>
          <w:tcPr>
            <w:tcW w:w="951"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5" w:type="pct"/>
            <w:vMerge w:val="continue"/>
            <w:vAlign w:val="center"/>
          </w:tcPr>
          <w:p>
            <w:pPr>
              <w:adjustRightInd w:val="0"/>
              <w:snapToGrid w:val="0"/>
              <w:jc w:val="center"/>
              <w:textAlignment w:val="center"/>
              <w:rPr>
                <w:rFonts w:eastAsia="仿宋_GB2312"/>
                <w:color w:val="auto"/>
                <w:szCs w:val="21"/>
              </w:rPr>
            </w:pPr>
          </w:p>
        </w:tc>
        <w:tc>
          <w:tcPr>
            <w:tcW w:w="841" w:type="pct"/>
            <w:vMerge w:val="restart"/>
            <w:vAlign w:val="center"/>
          </w:tcPr>
          <w:p>
            <w:pPr>
              <w:snapToGrid w:val="0"/>
              <w:jc w:val="center"/>
              <w:textAlignment w:val="center"/>
              <w:rPr>
                <w:rStyle w:val="128"/>
                <w:rFonts w:eastAsia="仿宋_GB2312"/>
                <w:color w:val="auto"/>
                <w:szCs w:val="21"/>
              </w:rPr>
            </w:pPr>
            <w:r>
              <w:rPr>
                <w:rStyle w:val="128"/>
                <w:rFonts w:eastAsia="仿宋_GB2312"/>
                <w:color w:val="auto"/>
                <w:szCs w:val="21"/>
              </w:rPr>
              <w:t>选修课</w:t>
            </w:r>
          </w:p>
          <w:p>
            <w:pPr>
              <w:snapToGrid w:val="0"/>
              <w:jc w:val="center"/>
              <w:textAlignment w:val="center"/>
              <w:rPr>
                <w:rFonts w:eastAsia="仿宋_GB2312"/>
                <w:color w:val="auto"/>
                <w:szCs w:val="21"/>
              </w:rPr>
            </w:pPr>
            <w:r>
              <w:rPr>
                <w:rStyle w:val="128"/>
                <w:rFonts w:eastAsia="仿宋_GB2312"/>
                <w:color w:val="auto"/>
                <w:szCs w:val="21"/>
              </w:rPr>
              <w:t>（34学分）</w:t>
            </w:r>
          </w:p>
        </w:tc>
        <w:tc>
          <w:tcPr>
            <w:tcW w:w="874" w:type="pct"/>
            <w:vAlign w:val="center"/>
          </w:tcPr>
          <w:p>
            <w:pPr>
              <w:snapToGrid w:val="0"/>
              <w:jc w:val="center"/>
              <w:textAlignment w:val="center"/>
              <w:rPr>
                <w:rFonts w:eastAsia="仿宋_GB2312"/>
                <w:color w:val="auto"/>
                <w:szCs w:val="21"/>
              </w:rPr>
            </w:pPr>
            <w:r>
              <w:rPr>
                <w:rStyle w:val="128"/>
                <w:rFonts w:eastAsia="仿宋_GB2312"/>
                <w:color w:val="auto"/>
                <w:szCs w:val="21"/>
              </w:rPr>
              <w:t>通识选修课程</w:t>
            </w:r>
          </w:p>
        </w:tc>
        <w:tc>
          <w:tcPr>
            <w:tcW w:w="455" w:type="pct"/>
            <w:vAlign w:val="center"/>
          </w:tcPr>
          <w:p>
            <w:pPr>
              <w:snapToGrid w:val="0"/>
              <w:jc w:val="center"/>
              <w:textAlignment w:val="center"/>
              <w:rPr>
                <w:rFonts w:eastAsia="仿宋_GB2312"/>
                <w:color w:val="auto"/>
                <w:szCs w:val="21"/>
              </w:rPr>
            </w:pPr>
            <w:r>
              <w:rPr>
                <w:rStyle w:val="128"/>
                <w:rFonts w:eastAsia="仿宋_GB2312"/>
                <w:color w:val="auto"/>
                <w:szCs w:val="21"/>
              </w:rPr>
              <w:t>12</w:t>
            </w:r>
          </w:p>
        </w:tc>
        <w:tc>
          <w:tcPr>
            <w:tcW w:w="1564" w:type="pct"/>
            <w:vAlign w:val="center"/>
          </w:tcPr>
          <w:p>
            <w:pPr>
              <w:adjustRightInd w:val="0"/>
              <w:snapToGrid w:val="0"/>
              <w:jc w:val="center"/>
              <w:textAlignment w:val="center"/>
              <w:rPr>
                <w:rFonts w:eastAsia="仿宋_GB2312"/>
                <w:color w:val="auto"/>
                <w:szCs w:val="21"/>
              </w:rPr>
            </w:pPr>
            <w:r>
              <w:rPr>
                <w:rFonts w:eastAsia="仿宋_GB2312"/>
                <w:color w:val="auto"/>
                <w:szCs w:val="21"/>
              </w:rPr>
              <w:t>9.76%</w:t>
            </w:r>
          </w:p>
        </w:tc>
        <w:tc>
          <w:tcPr>
            <w:tcW w:w="951"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20.99%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5" w:type="pct"/>
            <w:vMerge w:val="continue"/>
            <w:vAlign w:val="center"/>
          </w:tcPr>
          <w:p>
            <w:pPr>
              <w:adjustRightInd w:val="0"/>
              <w:snapToGrid w:val="0"/>
              <w:jc w:val="center"/>
              <w:textAlignment w:val="center"/>
              <w:rPr>
                <w:rFonts w:eastAsia="仿宋_GB2312"/>
                <w:color w:val="auto"/>
                <w:szCs w:val="21"/>
              </w:rPr>
            </w:pPr>
          </w:p>
        </w:tc>
        <w:tc>
          <w:tcPr>
            <w:tcW w:w="841" w:type="pct"/>
            <w:vMerge w:val="continue"/>
            <w:vAlign w:val="center"/>
          </w:tcPr>
          <w:p>
            <w:pPr>
              <w:snapToGrid w:val="0"/>
              <w:jc w:val="center"/>
              <w:textAlignment w:val="center"/>
              <w:rPr>
                <w:rFonts w:eastAsia="仿宋_GB2312"/>
                <w:color w:val="auto"/>
                <w:szCs w:val="21"/>
              </w:rPr>
            </w:pPr>
          </w:p>
        </w:tc>
        <w:tc>
          <w:tcPr>
            <w:tcW w:w="874" w:type="pct"/>
            <w:vAlign w:val="center"/>
          </w:tcPr>
          <w:p>
            <w:pPr>
              <w:snapToGrid w:val="0"/>
              <w:jc w:val="center"/>
              <w:textAlignment w:val="center"/>
              <w:rPr>
                <w:rFonts w:eastAsia="仿宋_GB2312"/>
                <w:color w:val="auto"/>
                <w:szCs w:val="21"/>
              </w:rPr>
            </w:pPr>
            <w:r>
              <w:rPr>
                <w:rStyle w:val="128"/>
                <w:rFonts w:eastAsia="仿宋_GB2312"/>
                <w:color w:val="auto"/>
                <w:szCs w:val="21"/>
              </w:rPr>
              <w:t>专业拓展课程</w:t>
            </w:r>
          </w:p>
        </w:tc>
        <w:tc>
          <w:tcPr>
            <w:tcW w:w="455" w:type="pct"/>
            <w:vAlign w:val="center"/>
          </w:tcPr>
          <w:p>
            <w:pPr>
              <w:snapToGrid w:val="0"/>
              <w:jc w:val="center"/>
              <w:textAlignment w:val="center"/>
              <w:rPr>
                <w:rFonts w:eastAsia="仿宋_GB2312"/>
                <w:color w:val="auto"/>
                <w:szCs w:val="21"/>
              </w:rPr>
            </w:pPr>
            <w:r>
              <w:rPr>
                <w:rStyle w:val="128"/>
                <w:rFonts w:eastAsia="仿宋_GB2312"/>
                <w:color w:val="auto"/>
                <w:szCs w:val="21"/>
              </w:rPr>
              <w:t>22</w:t>
            </w:r>
          </w:p>
        </w:tc>
        <w:tc>
          <w:tcPr>
            <w:tcW w:w="1564" w:type="pct"/>
            <w:vAlign w:val="center"/>
          </w:tcPr>
          <w:p>
            <w:pPr>
              <w:adjustRightInd w:val="0"/>
              <w:snapToGrid w:val="0"/>
              <w:jc w:val="center"/>
              <w:textAlignment w:val="center"/>
              <w:rPr>
                <w:color w:val="auto"/>
                <w:sz w:val="18"/>
                <w:szCs w:val="18"/>
              </w:rPr>
            </w:pPr>
            <w:r>
              <w:rPr>
                <w:rFonts w:eastAsia="仿宋_GB2312"/>
                <w:color w:val="auto"/>
                <w:szCs w:val="21"/>
              </w:rPr>
              <w:t>16.26%</w:t>
            </w:r>
          </w:p>
        </w:tc>
        <w:tc>
          <w:tcPr>
            <w:tcW w:w="951"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30" w:type="pct"/>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实践教学</w:t>
            </w:r>
          </w:p>
        </w:tc>
        <w:tc>
          <w:tcPr>
            <w:tcW w:w="455" w:type="pct"/>
            <w:vAlign w:val="center"/>
          </w:tcPr>
          <w:p>
            <w:pPr>
              <w:snapToGrid w:val="0"/>
              <w:jc w:val="center"/>
              <w:textAlignment w:val="center"/>
              <w:rPr>
                <w:rFonts w:eastAsia="仿宋_GB2312"/>
                <w:color w:val="auto"/>
                <w:szCs w:val="21"/>
              </w:rPr>
            </w:pPr>
            <w:r>
              <w:rPr>
                <w:rStyle w:val="128"/>
                <w:rFonts w:eastAsia="仿宋_GB2312"/>
                <w:color w:val="auto"/>
                <w:szCs w:val="21"/>
              </w:rPr>
              <w:t>39</w:t>
            </w:r>
          </w:p>
        </w:tc>
        <w:tc>
          <w:tcPr>
            <w:tcW w:w="2515" w:type="pct"/>
            <w:gridSpan w:val="2"/>
            <w:vAlign w:val="center"/>
          </w:tcPr>
          <w:p>
            <w:pPr>
              <w:snapToGrid w:val="0"/>
              <w:ind w:firstLine="1470" w:firstLineChars="700"/>
              <w:textAlignment w:val="center"/>
              <w:rPr>
                <w:rFonts w:eastAsia="仿宋_GB2312"/>
                <w:color w:val="auto"/>
                <w:szCs w:val="21"/>
              </w:rPr>
            </w:pPr>
            <w:r>
              <w:rPr>
                <w:rStyle w:val="128"/>
                <w:rFonts w:eastAsia="仿宋_GB2312"/>
                <w:color w:val="auto"/>
                <w:szCs w:val="21"/>
              </w:rPr>
              <w:t>24.07%（占总学分比例）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30" w:type="pct"/>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毕业总学分</w:t>
            </w:r>
          </w:p>
        </w:tc>
        <w:tc>
          <w:tcPr>
            <w:tcW w:w="2970" w:type="pct"/>
            <w:gridSpan w:val="3"/>
            <w:vAlign w:val="center"/>
          </w:tcPr>
          <w:p>
            <w:pPr>
              <w:snapToGrid w:val="0"/>
              <w:jc w:val="center"/>
              <w:textAlignment w:val="center"/>
              <w:rPr>
                <w:rFonts w:eastAsia="仿宋_GB2312"/>
                <w:color w:val="auto"/>
                <w:szCs w:val="21"/>
              </w:rPr>
            </w:pPr>
            <w:r>
              <w:rPr>
                <w:rStyle w:val="128"/>
                <w:rFonts w:eastAsia="仿宋_GB2312"/>
                <w:color w:val="auto"/>
                <w:szCs w:val="21"/>
              </w:rPr>
              <w:t>162</w:t>
            </w:r>
          </w:p>
        </w:tc>
      </w:tr>
    </w:tbl>
    <w:p>
      <w:pPr>
        <w:adjustRightInd w:val="0"/>
        <w:spacing w:before="120" w:beforeLines="50" w:line="60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600" w:lineRule="exact"/>
        <w:ind w:firstLine="480" w:firstLineChars="200"/>
        <w:rPr>
          <w:rFonts w:eastAsia="仿宋_GB2312"/>
          <w:color w:val="auto"/>
          <w:sz w:val="24"/>
        </w:rPr>
      </w:pPr>
      <w:r>
        <w:rPr>
          <w:rFonts w:eastAsia="仿宋_GB2312"/>
          <w:color w:val="auto"/>
          <w:sz w:val="24"/>
        </w:rPr>
        <w:t>学制：4年；修业年限：3-8年</w:t>
      </w:r>
    </w:p>
    <w:p>
      <w:pPr>
        <w:spacing w:line="600" w:lineRule="exact"/>
        <w:ind w:firstLine="480" w:firstLineChars="200"/>
        <w:rPr>
          <w:rFonts w:eastAsia="仿宋_GB2312"/>
          <w:color w:val="auto"/>
          <w:sz w:val="24"/>
        </w:rPr>
      </w:pPr>
      <w:r>
        <w:rPr>
          <w:rFonts w:eastAsia="仿宋_GB2312"/>
          <w:color w:val="auto"/>
          <w:sz w:val="24"/>
        </w:rPr>
        <w:t>授予学位：符合国家学位规定和青岛农业大学学位授予条件者，授予</w:t>
      </w:r>
      <w:r>
        <w:rPr>
          <w:rFonts w:eastAsia="仿宋_GB2312"/>
          <w:color w:val="auto"/>
          <w:sz w:val="24"/>
        </w:rPr>
        <w:t>艺术学学士</w:t>
      </w:r>
      <w:r>
        <w:rPr>
          <w:rFonts w:eastAsia="仿宋_GB2312"/>
          <w:color w:val="auto"/>
          <w:sz w:val="24"/>
        </w:rPr>
        <w:t>学位</w:t>
      </w:r>
    </w:p>
    <w:p>
      <w:pPr>
        <w:adjustRightInd w:val="0"/>
        <w:spacing w:after="120" w:afterLines="50" w:line="600" w:lineRule="exact"/>
        <w:ind w:firstLine="560" w:firstLineChars="200"/>
        <w:rPr>
          <w:rFonts w:eastAsia="黑体"/>
          <w:bCs/>
          <w:color w:val="auto"/>
          <w:sz w:val="28"/>
          <w:szCs w:val="28"/>
        </w:rPr>
      </w:pPr>
    </w:p>
    <w:p>
      <w:pPr>
        <w:adjustRightInd w:val="0"/>
        <w:spacing w:after="120" w:afterLines="50" w:line="600" w:lineRule="exact"/>
        <w:ind w:firstLine="560" w:firstLineChars="200"/>
        <w:rPr>
          <w:rFonts w:eastAsia="黑体"/>
          <w:bCs/>
          <w:color w:val="auto"/>
          <w:sz w:val="28"/>
          <w:szCs w:val="28"/>
        </w:rPr>
      </w:pPr>
    </w:p>
    <w:p>
      <w:pPr>
        <w:adjustRightInd w:val="0"/>
        <w:spacing w:after="120" w:afterLines="50" w:line="60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144"/>
        <w:gridCol w:w="692"/>
        <w:gridCol w:w="6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课程类型</w:t>
            </w:r>
          </w:p>
        </w:tc>
        <w:tc>
          <w:tcPr>
            <w:tcW w:w="605"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366"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3458" w:type="pct"/>
            <w:vAlign w:val="center"/>
          </w:tcPr>
          <w:p>
            <w:pPr>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571" w:type="pct"/>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通识课程</w:t>
            </w:r>
          </w:p>
        </w:tc>
        <w:tc>
          <w:tcPr>
            <w:tcW w:w="605"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31.5</w:t>
            </w:r>
          </w:p>
        </w:tc>
        <w:tc>
          <w:tcPr>
            <w:tcW w:w="3458" w:type="pct"/>
            <w:vAlign w:val="center"/>
          </w:tcPr>
          <w:p>
            <w:pPr>
              <w:adjustRightInd w:val="0"/>
              <w:snapToGrid w:val="0"/>
              <w:spacing w:line="320" w:lineRule="exact"/>
              <w:jc w:val="left"/>
              <w:rPr>
                <w:rFonts w:eastAsia="仿宋_GB2312"/>
                <w:color w:val="auto"/>
                <w:szCs w:val="21"/>
              </w:rPr>
            </w:pPr>
            <w:r>
              <w:rPr>
                <w:rFonts w:eastAsia="仿宋_GB2312"/>
                <w:color w:val="auto"/>
                <w:szCs w:val="21"/>
              </w:rPr>
              <w:t>马克思主义基本原理概论（3学分）、思想道德修养与法律基础（2.5学分）、中国近现代史纲要</w:t>
            </w:r>
            <w:r>
              <w:rPr>
                <w:rFonts w:eastAsia="仿宋_GB2312"/>
                <w:color w:val="auto"/>
                <w:kern w:val="0"/>
                <w:szCs w:val="21"/>
              </w:rPr>
              <w:t>（2.5学分）</w:t>
            </w:r>
            <w:r>
              <w:rPr>
                <w:rFonts w:eastAsia="仿宋_GB2312"/>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continue"/>
            <w:vAlign w:val="center"/>
          </w:tcPr>
          <w:p>
            <w:pPr>
              <w:spacing w:line="320" w:lineRule="exact"/>
              <w:ind w:firstLine="29" w:firstLineChars="14"/>
              <w:jc w:val="center"/>
              <w:rPr>
                <w:rFonts w:eastAsia="仿宋_GB2312"/>
                <w:color w:val="auto"/>
                <w:szCs w:val="21"/>
              </w:rPr>
            </w:pPr>
          </w:p>
        </w:tc>
        <w:tc>
          <w:tcPr>
            <w:tcW w:w="605" w:type="pct"/>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12</w:t>
            </w:r>
          </w:p>
        </w:tc>
        <w:tc>
          <w:tcPr>
            <w:tcW w:w="3458" w:type="pct"/>
            <w:vAlign w:val="center"/>
          </w:tcPr>
          <w:p>
            <w:pPr>
              <w:spacing w:line="320" w:lineRule="exact"/>
              <w:rPr>
                <w:rFonts w:eastAsia="仿宋_GB2312"/>
                <w:color w:val="auto"/>
                <w:szCs w:val="21"/>
              </w:rPr>
            </w:pPr>
            <w:r>
              <w:rPr>
                <w:rFonts w:eastAsia="仿宋_GB2312"/>
                <w:color w:val="auto"/>
                <w:szCs w:val="21"/>
              </w:rPr>
              <w:t>美育模块：最低选修2学分</w:t>
            </w:r>
          </w:p>
          <w:p>
            <w:pPr>
              <w:spacing w:line="320" w:lineRule="exact"/>
              <w:rPr>
                <w:rFonts w:eastAsia="仿宋_GB2312"/>
                <w:color w:val="auto"/>
                <w:szCs w:val="21"/>
              </w:rPr>
            </w:pPr>
            <w:r>
              <w:rPr>
                <w:rFonts w:eastAsia="仿宋_GB2312"/>
                <w:color w:val="auto"/>
                <w:szCs w:val="21"/>
              </w:rPr>
              <w:t>计算机模块：最低选修2学分</w:t>
            </w:r>
          </w:p>
          <w:p>
            <w:pPr>
              <w:spacing w:line="320" w:lineRule="exact"/>
              <w:rPr>
                <w:rFonts w:eastAsia="仿宋_GB2312"/>
                <w:color w:val="auto"/>
                <w:szCs w:val="21"/>
              </w:rPr>
            </w:pPr>
            <w:r>
              <w:rPr>
                <w:rFonts w:eastAsia="仿宋_GB2312"/>
                <w:color w:val="auto"/>
                <w:szCs w:val="21"/>
              </w:rPr>
              <w:t>中国语言文学与优秀传统文化模块：最低选修 2学分</w:t>
            </w:r>
          </w:p>
          <w:p>
            <w:pPr>
              <w:spacing w:line="320" w:lineRule="exact"/>
              <w:rPr>
                <w:rFonts w:eastAsia="仿宋_GB2312"/>
                <w:color w:val="auto"/>
                <w:szCs w:val="21"/>
              </w:rPr>
            </w:pPr>
            <w:r>
              <w:rPr>
                <w:rFonts w:eastAsia="仿宋_GB2312"/>
                <w:color w:val="auto"/>
                <w:szCs w:val="21"/>
              </w:rPr>
              <w:t>思政模块：最低选修 2学分</w:t>
            </w:r>
          </w:p>
          <w:p>
            <w:pPr>
              <w:spacing w:line="320" w:lineRule="exact"/>
              <w:rPr>
                <w:rFonts w:eastAsia="仿宋_GB2312"/>
                <w:color w:val="auto"/>
                <w:szCs w:val="21"/>
              </w:rPr>
            </w:pPr>
            <w:r>
              <w:rPr>
                <w:rFonts w:eastAsia="仿宋_GB2312"/>
                <w:color w:val="auto"/>
                <w:szCs w:val="21"/>
              </w:rPr>
              <w:t>创新创业类课程建议选修不低于2学分。</w:t>
            </w:r>
          </w:p>
          <w:p>
            <w:pPr>
              <w:spacing w:line="320" w:lineRule="exact"/>
              <w:rPr>
                <w:rFonts w:eastAsia="仿宋_GB2312"/>
                <w:color w:val="auto"/>
                <w:szCs w:val="21"/>
              </w:rPr>
            </w:pPr>
            <w:r>
              <w:rPr>
                <w:rFonts w:eastAsia="仿宋_GB2312"/>
                <w:color w:val="auto"/>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专业教育课程</w:t>
            </w:r>
          </w:p>
        </w:tc>
        <w:tc>
          <w:tcPr>
            <w:tcW w:w="605"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57.5</w:t>
            </w:r>
          </w:p>
        </w:tc>
        <w:tc>
          <w:tcPr>
            <w:tcW w:w="3458" w:type="pct"/>
            <w:vAlign w:val="center"/>
          </w:tcPr>
          <w:p>
            <w:pPr>
              <w:spacing w:line="320" w:lineRule="exact"/>
              <w:rPr>
                <w:rFonts w:eastAsia="仿宋_GB2312"/>
                <w:color w:val="auto"/>
                <w:szCs w:val="21"/>
              </w:rPr>
            </w:pPr>
            <w:r>
              <w:rPr>
                <w:rFonts w:eastAsia="仿宋_GB2312"/>
                <w:color w:val="auto"/>
                <w:szCs w:val="21"/>
              </w:rPr>
              <w:t>造型基础（3学分）、影视色彩（3学分）、动画速写（2学分）、</w:t>
            </w:r>
          </w:p>
          <w:p>
            <w:pPr>
              <w:spacing w:line="320" w:lineRule="exact"/>
              <w:rPr>
                <w:rFonts w:eastAsia="仿宋_GB2312"/>
                <w:color w:val="auto"/>
                <w:szCs w:val="21"/>
              </w:rPr>
            </w:pPr>
            <w:r>
              <w:rPr>
                <w:rFonts w:eastAsia="仿宋_GB2312"/>
                <w:color w:val="auto"/>
                <w:szCs w:val="21"/>
              </w:rPr>
              <w:t>雕塑（2学分）、动画概论（1.5学分）、</w:t>
            </w:r>
            <w:r>
              <w:rPr>
                <w:rStyle w:val="128"/>
                <w:rFonts w:hint="eastAsia" w:ascii="仿宋_GB2312" w:eastAsia="仿宋_GB2312"/>
                <w:color w:val="auto"/>
                <w:szCs w:val="21"/>
              </w:rPr>
              <w:t>动画导论（</w:t>
            </w:r>
            <w:r>
              <w:rPr>
                <w:rStyle w:val="128"/>
                <w:rFonts w:ascii="仿宋_GB2312" w:eastAsia="仿宋_GB2312"/>
                <w:color w:val="auto"/>
                <w:szCs w:val="21"/>
              </w:rPr>
              <w:t>2</w:t>
            </w:r>
            <w:r>
              <w:rPr>
                <w:rStyle w:val="128"/>
                <w:rFonts w:hint="eastAsia" w:ascii="仿宋_GB2312" w:eastAsia="仿宋_GB2312"/>
                <w:color w:val="auto"/>
                <w:szCs w:val="21"/>
              </w:rPr>
              <w:t>学分）</w:t>
            </w:r>
            <w:r>
              <w:rPr>
                <w:rFonts w:eastAsia="仿宋_GB2312"/>
                <w:color w:val="auto"/>
                <w:szCs w:val="21"/>
              </w:rPr>
              <w:t>、动画导演与剧本创作（2学分）、游戏概念设计（3学分）、动画分镜头设计（3学分）、动画运动规律（3学分）、三维造型（6学分）、游戏材质和节点技术（6学分）、游戏角色动画（6学分）、游戏关卡设计（5学分）、影视特效（6学分）、游戏引擎设计（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continue"/>
            <w:vAlign w:val="center"/>
          </w:tcPr>
          <w:p>
            <w:pPr>
              <w:spacing w:line="320" w:lineRule="exact"/>
              <w:ind w:firstLine="29" w:firstLineChars="14"/>
              <w:jc w:val="center"/>
              <w:rPr>
                <w:rFonts w:eastAsia="仿宋_GB2312"/>
                <w:color w:val="auto"/>
                <w:szCs w:val="21"/>
              </w:rPr>
            </w:pPr>
          </w:p>
        </w:tc>
        <w:tc>
          <w:tcPr>
            <w:tcW w:w="605" w:type="pct"/>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22</w:t>
            </w:r>
          </w:p>
        </w:tc>
        <w:tc>
          <w:tcPr>
            <w:tcW w:w="3458" w:type="pct"/>
            <w:vAlign w:val="center"/>
          </w:tcPr>
          <w:p>
            <w:pPr>
              <w:spacing w:line="320" w:lineRule="exact"/>
              <w:rPr>
                <w:rFonts w:eastAsia="仿宋_GB2312"/>
                <w:color w:val="auto"/>
                <w:szCs w:val="21"/>
              </w:rPr>
            </w:pPr>
            <w:r>
              <w:rPr>
                <w:rFonts w:eastAsia="仿宋_GB2312"/>
                <w:color w:val="auto"/>
                <w:szCs w:val="21"/>
              </w:rPr>
              <w:t>学术研究模块：最低选修6学分</w:t>
            </w:r>
          </w:p>
          <w:p>
            <w:pPr>
              <w:spacing w:line="320" w:lineRule="exact"/>
              <w:rPr>
                <w:rFonts w:eastAsia="仿宋_GB2312"/>
                <w:color w:val="auto"/>
                <w:szCs w:val="21"/>
              </w:rPr>
            </w:pPr>
            <w:r>
              <w:rPr>
                <w:rFonts w:eastAsia="仿宋_GB2312"/>
                <w:color w:val="auto"/>
                <w:szCs w:val="21"/>
              </w:rPr>
              <w:t>影视扩展模块：最低选修10学分</w:t>
            </w:r>
          </w:p>
          <w:p>
            <w:pPr>
              <w:spacing w:line="320" w:lineRule="exact"/>
              <w:rPr>
                <w:rFonts w:eastAsia="仿宋_GB2312"/>
                <w:color w:val="auto"/>
                <w:szCs w:val="21"/>
              </w:rPr>
            </w:pPr>
            <w:r>
              <w:rPr>
                <w:rFonts w:eastAsia="仿宋_GB2312"/>
                <w:color w:val="auto"/>
                <w:szCs w:val="21"/>
              </w:rPr>
              <w:t>产业知识模块：最低选修6学分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Align w:val="center"/>
          </w:tcPr>
          <w:p>
            <w:pPr>
              <w:spacing w:line="320" w:lineRule="exact"/>
              <w:ind w:firstLine="29" w:firstLineChars="14"/>
              <w:jc w:val="center"/>
              <w:rPr>
                <w:rFonts w:eastAsia="仿宋_GB2312"/>
                <w:color w:val="auto"/>
                <w:szCs w:val="21"/>
              </w:rPr>
            </w:pPr>
            <w:r>
              <w:rPr>
                <w:rFonts w:eastAsia="仿宋_GB2312"/>
                <w:color w:val="auto"/>
                <w:szCs w:val="21"/>
              </w:rPr>
              <w:t>实践课程</w:t>
            </w:r>
          </w:p>
        </w:tc>
        <w:tc>
          <w:tcPr>
            <w:tcW w:w="605"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39</w:t>
            </w:r>
          </w:p>
        </w:tc>
        <w:tc>
          <w:tcPr>
            <w:tcW w:w="3458" w:type="pct"/>
            <w:vAlign w:val="center"/>
          </w:tcPr>
          <w:p>
            <w:pPr>
              <w:spacing w:line="320" w:lineRule="exact"/>
              <w:jc w:val="left"/>
              <w:rPr>
                <w:rFonts w:eastAsia="仿宋_GB2312"/>
                <w:color w:val="auto"/>
                <w:szCs w:val="21"/>
              </w:rPr>
            </w:pPr>
            <w:r>
              <w:rPr>
                <w:rFonts w:eastAsia="仿宋_GB2312"/>
                <w:color w:val="auto"/>
                <w:szCs w:val="21"/>
              </w:rPr>
              <w:t>入学教育、军训（含军事技能）（2学分）、劳动实践（2学分）、大学生体制健康测试（0.5学分）、第二课堂实践（2学分）、《创业基础》实践教学（1学分）、思想政治理论课综合实践（2学分）、《大学生心理健康教育》实践教学（0.5学分）、大学生就业指导（1学分）、动画专业科研训练与课程论文（2学分）、综合写生课程教学实习（2学分）、艺术综合考察课程教学实习（2学分）、三维造型课程教学实习（2学分）、游戏材质和节点技术课程教学实习（2学分）、游戏角色动画课程教学实习（2学分）、游戏引擎设计课程教学实习（2学分）、</w:t>
            </w:r>
            <w:r>
              <w:rPr>
                <w:rFonts w:eastAsia="仿宋_GB2312"/>
                <w:bCs/>
                <w:color w:val="auto"/>
                <w:szCs w:val="21"/>
              </w:rPr>
              <w:t>动画（游戏设计方向）专业综合实习（</w:t>
            </w:r>
            <w:r>
              <w:rPr>
                <w:rFonts w:eastAsia="仿宋_GB2312"/>
                <w:color w:val="auto"/>
                <w:szCs w:val="21"/>
              </w:rPr>
              <w:t>5学分</w:t>
            </w:r>
            <w:r>
              <w:rPr>
                <w:rFonts w:eastAsia="仿宋_GB2312"/>
                <w:bCs/>
                <w:color w:val="auto"/>
                <w:szCs w:val="21"/>
              </w:rPr>
              <w:t>）、</w:t>
            </w:r>
            <w:r>
              <w:rPr>
                <w:rFonts w:eastAsia="仿宋_GB2312"/>
                <w:color w:val="auto"/>
                <w:szCs w:val="21"/>
              </w:rPr>
              <w:t>动画专业毕业实习</w:t>
            </w:r>
            <w:r>
              <w:rPr>
                <w:rFonts w:hint="eastAsia" w:eastAsia="仿宋_GB2312"/>
                <w:color w:val="auto"/>
                <w:szCs w:val="21"/>
              </w:rPr>
              <w:t>（含劳动实践）</w:t>
            </w:r>
            <w:r>
              <w:rPr>
                <w:rFonts w:eastAsia="仿宋_GB2312"/>
                <w:color w:val="auto"/>
                <w:szCs w:val="21"/>
              </w:rPr>
              <w:t>（</w:t>
            </w:r>
            <w:r>
              <w:rPr>
                <w:rFonts w:hint="eastAsia" w:eastAsia="仿宋_GB2312"/>
                <w:color w:val="auto"/>
                <w:szCs w:val="21"/>
              </w:rPr>
              <w:t>4</w:t>
            </w:r>
            <w:r>
              <w:rPr>
                <w:rFonts w:eastAsia="仿宋_GB2312"/>
                <w:color w:val="auto"/>
                <w:szCs w:val="21"/>
              </w:rPr>
              <w:t>学分）、动画（游戏设计方向）专业毕业实习、毕业论文（设计）Ⅰ（</w:t>
            </w:r>
            <w:r>
              <w:rPr>
                <w:rFonts w:hint="eastAsia" w:eastAsia="仿宋_GB2312"/>
                <w:color w:val="auto"/>
                <w:szCs w:val="21"/>
              </w:rPr>
              <w:t>3</w:t>
            </w:r>
            <w:r>
              <w:rPr>
                <w:rFonts w:eastAsia="仿宋_GB2312"/>
                <w:color w:val="auto"/>
                <w:szCs w:val="21"/>
              </w:rPr>
              <w:t>学分）、动画（游戏设计方向）专业毕业实习、毕业论文（设计）Ⅱ（</w:t>
            </w:r>
            <w:r>
              <w:rPr>
                <w:rFonts w:hint="eastAsia" w:eastAsia="仿宋_GB2312"/>
                <w:color w:val="auto"/>
                <w:szCs w:val="21"/>
              </w:rPr>
              <w:t>3</w:t>
            </w:r>
            <w:r>
              <w:rPr>
                <w:rFonts w:eastAsia="仿宋_GB2312"/>
                <w:color w:val="auto"/>
                <w:szCs w:val="21"/>
              </w:rPr>
              <w:t>学分）</w:t>
            </w:r>
          </w:p>
        </w:tc>
      </w:tr>
    </w:tbl>
    <w:p>
      <w:pPr>
        <w:adjustRightInd w:val="0"/>
        <w:snapToGrid w:val="0"/>
        <w:spacing w:line="360" w:lineRule="exact"/>
        <w:rPr>
          <w:rFonts w:eastAsia="仿宋_GB2312"/>
          <w:bCs/>
          <w:color w:val="auto"/>
          <w:szCs w:val="21"/>
        </w:rPr>
      </w:pPr>
    </w:p>
    <w:p>
      <w:pPr>
        <w:adjustRightInd w:val="0"/>
        <w:snapToGrid w:val="0"/>
        <w:spacing w:line="360" w:lineRule="auto"/>
        <w:ind w:firstLine="600" w:firstLineChars="200"/>
        <w:rPr>
          <w:rFonts w:eastAsia="黑体"/>
          <w:bCs/>
          <w:color w:val="auto"/>
          <w:sz w:val="30"/>
          <w:szCs w:val="30"/>
        </w:rPr>
        <w:sectPr>
          <w:footerReference r:id="rId3" w:type="default"/>
          <w:footerReference r:id="rId4" w:type="even"/>
          <w:pgSz w:w="11906" w:h="16838"/>
          <w:pgMar w:top="1531" w:right="1134" w:bottom="1021" w:left="1531" w:header="851" w:footer="1531" w:gutter="0"/>
          <w:pgNumType w:fmt="numberInDash"/>
          <w:cols w:space="720" w:num="1"/>
          <w:docGrid w:linePitch="312" w:charSpace="0"/>
        </w:sectPr>
      </w:pP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line="360" w:lineRule="auto"/>
        <w:ind w:firstLine="560" w:firstLineChars="200"/>
        <w:outlineLvl w:val="0"/>
        <w:rPr>
          <w:rFonts w:eastAsia="楷体_GB2312"/>
          <w:bCs/>
          <w:color w:val="auto"/>
          <w:sz w:val="28"/>
          <w:szCs w:val="28"/>
        </w:rPr>
      </w:pPr>
      <w:r>
        <w:rPr>
          <w:rFonts w:eastAsia="楷体_GB2312"/>
          <w:bCs/>
          <w:color w:val="auto"/>
          <w:sz w:val="28"/>
          <w:szCs w:val="28"/>
        </w:rPr>
        <w:t>（一）课内教学环节</w:t>
      </w:r>
    </w:p>
    <w:p>
      <w:pPr>
        <w:adjustRightInd w:val="0"/>
        <w:snapToGrid w:val="0"/>
        <w:spacing w:line="360" w:lineRule="auto"/>
        <w:outlineLvl w:val="1"/>
        <w:rPr>
          <w:rFonts w:eastAsia="黑体"/>
          <w:bCs/>
          <w:color w:val="auto"/>
          <w:sz w:val="24"/>
        </w:rPr>
      </w:pPr>
      <w:r>
        <w:rPr>
          <w:rFonts w:eastAsia="黑体"/>
          <w:color w:val="auto"/>
          <w:kern w:val="0"/>
          <w:sz w:val="24"/>
        </w:rPr>
        <w:t>表Ⅰ 必修</w:t>
      </w:r>
      <w:r>
        <w:rPr>
          <w:rFonts w:eastAsia="黑体"/>
          <w:bCs/>
          <w:color w:val="auto"/>
          <w:sz w:val="24"/>
        </w:rPr>
        <w:t>课课程设置与教学进程</w:t>
      </w:r>
      <w:r>
        <w:rPr>
          <w:rFonts w:eastAsia="黑体"/>
          <w:color w:val="auto"/>
          <w:kern w:val="0"/>
          <w:sz w:val="24"/>
        </w:rPr>
        <w:t>一览表</w:t>
      </w:r>
      <w:r>
        <w:rPr>
          <w:rFonts w:hint="eastAsia" w:eastAsia="黑体"/>
          <w:color w:val="auto"/>
          <w:kern w:val="0"/>
          <w:sz w:val="24"/>
        </w:rPr>
        <w:t xml:space="preserve">                                                     </w:t>
      </w:r>
      <w:r>
        <w:rPr>
          <w:rFonts w:eastAsia="黑体"/>
          <w:bCs/>
          <w:color w:val="auto"/>
          <w:sz w:val="24"/>
        </w:rPr>
        <w:t>动画专业（游戏设计方向）</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725"/>
        <w:gridCol w:w="247"/>
        <w:gridCol w:w="99"/>
        <w:gridCol w:w="3558"/>
        <w:gridCol w:w="853"/>
        <w:gridCol w:w="763"/>
        <w:gridCol w:w="763"/>
        <w:gridCol w:w="563"/>
        <w:gridCol w:w="566"/>
        <w:gridCol w:w="560"/>
        <w:gridCol w:w="560"/>
        <w:gridCol w:w="563"/>
        <w:gridCol w:w="566"/>
        <w:gridCol w:w="563"/>
        <w:gridCol w:w="563"/>
        <w:gridCol w:w="563"/>
        <w:gridCol w:w="592"/>
        <w:gridCol w:w="1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类型</w:t>
            </w:r>
          </w:p>
        </w:tc>
        <w:tc>
          <w:tcPr>
            <w:tcW w:w="335" w:type="pct"/>
            <w:gridSpan w:val="2"/>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1260" w:type="pct"/>
            <w:gridSpan w:val="2"/>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294"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915" w:type="pct"/>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w:t>
            </w:r>
          </w:p>
        </w:tc>
        <w:tc>
          <w:tcPr>
            <w:tcW w:w="1561" w:type="pct"/>
            <w:gridSpan w:val="8"/>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各学期学时分配</w:t>
            </w:r>
          </w:p>
        </w:tc>
        <w:tc>
          <w:tcPr>
            <w:tcW w:w="418" w:type="pct"/>
            <w:vMerge w:val="restar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35" w:type="pct"/>
            <w:gridSpan w:val="2"/>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260" w:type="pct"/>
            <w:gridSpan w:val="2"/>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94" w:type="pct"/>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总学时</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理论</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实验</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线上</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一</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二</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三</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四</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五</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六</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七</w:t>
            </w: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八</w:t>
            </w:r>
          </w:p>
        </w:tc>
        <w:tc>
          <w:tcPr>
            <w:tcW w:w="418" w:type="pct"/>
            <w:vMerge w:val="continue"/>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识</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程</w:t>
            </w:r>
          </w:p>
          <w:p>
            <w:pPr>
              <w:adjustRightInd w:val="0"/>
              <w:snapToGrid w:val="0"/>
              <w:spacing w:line="240" w:lineRule="exact"/>
              <w:jc w:val="center"/>
              <w:rPr>
                <w:rFonts w:eastAsia="仿宋_GB2312"/>
                <w:b/>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4040001</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马克思主义基本原理概论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General Principle of Marxism</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2</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思想道德修养与法律基础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Moral Education and Law Basics</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4</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中国近现代史纲要</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Summary of Chinese Modern and Contemporary History</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3</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毛泽东思想和中国特色社会主义理论体系概论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 Introduction to Mao Zedong Thought and Socialist Theory System with Chinese Characteristics</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5</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形势与政策</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Situation and Policy</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4040006</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EnglishⅠ</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7</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EnglishⅡ</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8</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EnglishⅢ</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9</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EnglishⅣ</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EducationⅠ</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EducationⅡ</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EducationⅢ</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EducationⅣ</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Mental Health Education</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大学生职业生涯规划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Planning for University Students</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军事理论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Military Theory</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595" w:type="pct"/>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31.5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172</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140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192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76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restart"/>
            <w:tcBorders>
              <w:top w:val="single" w:color="auto" w:sz="6" w:space="0"/>
              <w:left w:val="single" w:color="auto" w:sz="8" w:space="0"/>
              <w:bottom w:val="single" w:color="auto" w:sz="6" w:space="0"/>
              <w:right w:val="single" w:color="auto" w:sz="6" w:space="0"/>
            </w:tcBorders>
            <w:textDirection w:val="tbRlV"/>
            <w:vAlign w:val="center"/>
          </w:tcPr>
          <w:p>
            <w:pPr>
              <w:adjustRightInd w:val="0"/>
              <w:snapToGrid w:val="0"/>
              <w:spacing w:line="240" w:lineRule="exact"/>
              <w:jc w:val="center"/>
              <w:rPr>
                <w:rFonts w:eastAsia="仿宋_GB2312"/>
                <w:b/>
                <w:color w:val="auto"/>
                <w:spacing w:val="40"/>
                <w:sz w:val="18"/>
                <w:szCs w:val="18"/>
              </w:rPr>
            </w:pPr>
            <w:r>
              <w:rPr>
                <w:rFonts w:eastAsia="仿宋_GB2312"/>
                <w:b/>
                <w:color w:val="auto"/>
                <w:spacing w:val="40"/>
                <w:sz w:val="18"/>
                <w:szCs w:val="18"/>
              </w:rPr>
              <w:t>学科（专业）基础课</w:t>
            </w: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4050152</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造型基础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Modeling Basics</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4050148</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影视色彩</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Colour Studio</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4050149</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动画速写</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Gesture Drawing for Animation</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b/>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b/>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b/>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4050195</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雕塑</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Sculpture</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24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b/>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b/>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b/>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4050321</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数字游戏概论</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Introduction to digital games</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24</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24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24</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4050308</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w:t>
            </w:r>
            <w:r>
              <w:rPr>
                <w:rFonts w:hint="eastAsia" w:eastAsia="仿宋_GB2312"/>
                <w:bCs/>
                <w:color w:val="auto"/>
                <w:sz w:val="18"/>
                <w:szCs w:val="18"/>
              </w:rPr>
              <w:t>设计导论（游戏设计方向）</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 introduction to the animation</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(Game design)</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kern w:val="0"/>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kern w:val="0"/>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kern w:val="0"/>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kern w:val="0"/>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kern w:val="0"/>
                <w:sz w:val="18"/>
                <w:szCs w:val="18"/>
              </w:rPr>
              <w:t>32</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4050196</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动画导演与剧本创作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director and script writing</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kern w:val="0"/>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kern w:val="0"/>
                <w:sz w:val="18"/>
                <w:szCs w:val="18"/>
              </w:rPr>
            </w:pPr>
            <w:r>
              <w:rPr>
                <w:rFonts w:eastAsia="等线"/>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kern w:val="0"/>
                <w:sz w:val="18"/>
                <w:szCs w:val="18"/>
              </w:rPr>
            </w:pPr>
            <w:r>
              <w:rPr>
                <w:rFonts w:eastAsia="等线"/>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kern w:val="0"/>
                <w:sz w:val="18"/>
                <w:szCs w:val="18"/>
              </w:rPr>
            </w:pPr>
            <w:r>
              <w:rPr>
                <w:rFonts w:eastAsia="等线"/>
                <w:color w:val="auto"/>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kern w:val="0"/>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4050329</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游戏概念设计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Game concept design</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40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rPr>
              <w:t>48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等线"/>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4050306</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动画分镜头设计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shooting design</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kern w:val="0"/>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kern w:val="0"/>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kern w:val="0"/>
                <w:sz w:val="18"/>
                <w:szCs w:val="18"/>
              </w:rPr>
              <w:t>40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4050309</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动画运动规律</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Animated cartoon characteristics of motion</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kern w:val="0"/>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kern w:val="0"/>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kern w:val="0"/>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tabs>
                <w:tab w:val="left" w:pos="305"/>
              </w:tabs>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595" w:type="pct"/>
            <w:gridSpan w:val="4"/>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2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kern w:val="0"/>
                <w:sz w:val="18"/>
                <w:szCs w:val="18"/>
              </w:rPr>
              <w:t>24.5</w:t>
            </w:r>
          </w:p>
        </w:tc>
        <w:tc>
          <w:tcPr>
            <w:tcW w:w="263"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392</w:t>
            </w:r>
          </w:p>
        </w:tc>
        <w:tc>
          <w:tcPr>
            <w:tcW w:w="263"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352</w:t>
            </w: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40</w:t>
            </w: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3"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152</w:t>
            </w:r>
          </w:p>
        </w:tc>
        <w:tc>
          <w:tcPr>
            <w:tcW w:w="193"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112</w:t>
            </w: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32</w:t>
            </w: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48</w:t>
            </w: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48</w:t>
            </w: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0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18" w:type="pct"/>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业</w:t>
            </w:r>
          </w:p>
          <w:p>
            <w:pPr>
              <w:adjustRightInd w:val="0"/>
              <w:snapToGrid w:val="0"/>
              <w:spacing w:line="240" w:lineRule="exact"/>
              <w:jc w:val="center"/>
              <w:rPr>
                <w:rFonts w:eastAsia="仿宋_GB2312"/>
                <w:bCs/>
                <w:color w:val="auto"/>
                <w:sz w:val="18"/>
                <w:szCs w:val="18"/>
              </w:rPr>
            </w:pPr>
            <w:r>
              <w:rPr>
                <w:rFonts w:eastAsia="仿宋_GB2312"/>
                <w:b/>
                <w:color w:val="auto"/>
                <w:sz w:val="18"/>
                <w:szCs w:val="18"/>
              </w:rPr>
              <w:t>课</w:t>
            </w:r>
          </w:p>
        </w:tc>
        <w:tc>
          <w:tcPr>
            <w:tcW w:w="335"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4060091</w:t>
            </w:r>
          </w:p>
        </w:tc>
        <w:tc>
          <w:tcPr>
            <w:tcW w:w="1260"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三维造型</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3D Modeling</w:t>
            </w:r>
          </w:p>
        </w:tc>
        <w:tc>
          <w:tcPr>
            <w:tcW w:w="294"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6.0</w:t>
            </w:r>
          </w:p>
        </w:tc>
        <w:tc>
          <w:tcPr>
            <w:tcW w:w="263"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263"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bCs/>
                <w:color w:val="auto"/>
                <w:sz w:val="18"/>
                <w:szCs w:val="18"/>
              </w:rPr>
            </w:pPr>
            <w:r>
              <w:rPr>
                <w:color w:val="auto"/>
                <w:sz w:val="18"/>
                <w:szCs w:val="18"/>
              </w:rPr>
              <w:t>88</w:t>
            </w:r>
          </w:p>
        </w:tc>
        <w:tc>
          <w:tcPr>
            <w:tcW w:w="194"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8"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4060109</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游戏材质和节点技术</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Game material and node technology</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96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88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96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4060111</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游戏角色动画</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Game character animation</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88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96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4060113</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游戏引擎设计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Game engine design</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4060110</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游戏关卡设计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Game level design</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3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4060112</w:t>
            </w:r>
          </w:p>
        </w:tc>
        <w:tc>
          <w:tcPr>
            <w:tcW w:w="126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游戏特效</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Special Effect</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5"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595" w:type="pct"/>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33</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528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480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96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96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176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160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10" w:type="pct"/>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必修课合计</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89</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1500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1412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88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16</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324</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252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320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220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224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160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65" w:type="pct"/>
            <w:gridSpan w:val="2"/>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选修课</w:t>
            </w:r>
          </w:p>
        </w:tc>
        <w:tc>
          <w:tcPr>
            <w:tcW w:w="1345"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专业拓展课</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Style w:val="128"/>
                <w:rFonts w:eastAsia="仿宋_GB2312"/>
                <w:bCs/>
                <w:color w:val="auto"/>
                <w:sz w:val="18"/>
                <w:szCs w:val="18"/>
              </w:rPr>
              <w:t>22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Style w:val="128"/>
                <w:rFonts w:eastAsia="仿宋_GB2312"/>
                <w:bCs/>
                <w:color w:val="auto"/>
                <w:sz w:val="18"/>
                <w:szCs w:val="18"/>
              </w:rPr>
              <w:t>352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64</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112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65" w:type="pct"/>
            <w:gridSpan w:val="2"/>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345"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left="60" w:hanging="60" w:hangingChars="33"/>
              <w:jc w:val="center"/>
              <w:rPr>
                <w:rFonts w:eastAsia="仿宋_GB2312"/>
                <w:b/>
                <w:color w:val="auto"/>
                <w:sz w:val="18"/>
                <w:szCs w:val="18"/>
              </w:rPr>
            </w:pPr>
            <w:r>
              <w:rPr>
                <w:rFonts w:eastAsia="仿宋_GB2312"/>
                <w:b/>
                <w:color w:val="auto"/>
                <w:sz w:val="18"/>
                <w:szCs w:val="18"/>
              </w:rPr>
              <w:t>通识课程（选修）</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192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96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Style w:val="128"/>
                <w:rFonts w:eastAsia="仿宋_GB2312"/>
                <w:bCs/>
                <w:color w:val="auto"/>
                <w:sz w:val="18"/>
                <w:szCs w:val="18"/>
              </w:rPr>
            </w:pP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Style w:val="128"/>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10" w:type="pct"/>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r>
              <w:rPr>
                <w:rFonts w:hint="eastAsia" w:eastAsia="仿宋_GB2312"/>
                <w:b/>
                <w:color w:val="auto"/>
                <w:sz w:val="18"/>
                <w:szCs w:val="18"/>
              </w:rPr>
              <w:t>123</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r>
              <w:rPr>
                <w:rFonts w:hint="eastAsia" w:eastAsia="仿宋_GB2312"/>
                <w:b/>
                <w:color w:val="auto"/>
                <w:sz w:val="18"/>
                <w:szCs w:val="18"/>
              </w:rPr>
              <w:t>2044</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r>
              <w:rPr>
                <w:rFonts w:hint="eastAsia" w:eastAsia="仿宋_GB2312"/>
                <w:b/>
                <w:color w:val="auto"/>
                <w:sz w:val="18"/>
                <w:szCs w:val="18"/>
              </w:rPr>
              <w:t>324</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r>
              <w:rPr>
                <w:rFonts w:hint="eastAsia" w:eastAsia="仿宋_GB2312"/>
                <w:b/>
                <w:color w:val="auto"/>
                <w:sz w:val="18"/>
                <w:szCs w:val="18"/>
              </w:rPr>
              <w:t>348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r>
              <w:rPr>
                <w:rFonts w:hint="eastAsia" w:eastAsia="仿宋_GB2312"/>
                <w:b/>
                <w:color w:val="auto"/>
                <w:sz w:val="18"/>
                <w:szCs w:val="18"/>
              </w:rPr>
              <w:t>416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r>
              <w:rPr>
                <w:rFonts w:hint="eastAsia" w:eastAsia="仿宋_GB2312"/>
                <w:b/>
                <w:color w:val="auto"/>
                <w:sz w:val="18"/>
                <w:szCs w:val="18"/>
              </w:rPr>
              <w:t>332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r>
              <w:rPr>
                <w:rFonts w:hint="eastAsia" w:eastAsia="仿宋_GB2312"/>
                <w:b/>
                <w:color w:val="auto"/>
                <w:sz w:val="18"/>
                <w:szCs w:val="18"/>
              </w:rPr>
              <w:t>352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r>
              <w:rPr>
                <w:rFonts w:hint="eastAsia" w:eastAsia="仿宋_GB2312"/>
                <w:b/>
                <w:color w:val="auto"/>
                <w:sz w:val="18"/>
                <w:szCs w:val="18"/>
              </w:rPr>
              <w:t>272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r>
              <w:rPr>
                <w:rFonts w:hint="eastAsia" w:eastAsia="仿宋_GB2312"/>
                <w:b/>
                <w:color w:val="auto"/>
                <w:sz w:val="18"/>
                <w:szCs w:val="18"/>
              </w:rPr>
              <w:t>0</w:t>
            </w: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color w:val="auto"/>
              </w:rPr>
            </w:pPr>
            <w:r>
              <w:rPr>
                <w:rFonts w:hint="eastAsia" w:eastAsia="仿宋_GB2312"/>
                <w:b/>
                <w:color w:val="auto"/>
                <w:sz w:val="18"/>
                <w:szCs w:val="18"/>
              </w:rPr>
              <w:t>0</w:t>
            </w: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pct"/>
            <w:gridSpan w:val="4"/>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实践教学</w:t>
            </w:r>
          </w:p>
        </w:tc>
        <w:tc>
          <w:tcPr>
            <w:tcW w:w="122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39</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8</w:t>
            </w: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pct"/>
            <w:gridSpan w:val="4"/>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22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周数</w:t>
            </w:r>
          </w:p>
        </w:tc>
        <w:tc>
          <w:tcPr>
            <w:tcW w:w="2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Style w:val="128"/>
                <w:rFonts w:eastAsia="仿宋_GB2312"/>
                <w:b/>
                <w:color w:val="auto"/>
                <w:sz w:val="18"/>
                <w:szCs w:val="18"/>
              </w:rPr>
              <w:t>4</w:t>
            </w:r>
            <w:r>
              <w:rPr>
                <w:rStyle w:val="128"/>
                <w:rFonts w:hint="eastAsia" w:eastAsia="仿宋_GB2312"/>
                <w:color w:val="auto"/>
                <w:sz w:val="18"/>
                <w:szCs w:val="18"/>
              </w:rPr>
              <w:t>0</w:t>
            </w:r>
            <w:r>
              <w:rPr>
                <w:rStyle w:val="128"/>
                <w:rFonts w:eastAsia="仿宋_GB2312"/>
                <w:b/>
                <w:color w:val="auto"/>
                <w:sz w:val="18"/>
                <w:szCs w:val="18"/>
              </w:rPr>
              <w:t>+（17.5周+8学时）</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12</w:t>
            </w:r>
          </w:p>
        </w:tc>
        <w:tc>
          <w:tcPr>
            <w:tcW w:w="20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15</w:t>
            </w:r>
          </w:p>
        </w:tc>
        <w:tc>
          <w:tcPr>
            <w:tcW w:w="41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10" w:type="pct"/>
            <w:gridSpan w:val="5"/>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2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63"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63"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3"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23.1</w:t>
            </w:r>
          </w:p>
        </w:tc>
        <w:tc>
          <w:tcPr>
            <w:tcW w:w="193"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21.7</w:t>
            </w: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27.7</w:t>
            </w: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22.1</w:t>
            </w: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27.1</w:t>
            </w: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17.1</w:t>
            </w: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0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18" w:type="pct"/>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bl>
    <w:p>
      <w:pPr>
        <w:adjustRightInd w:val="0"/>
        <w:snapToGrid w:val="0"/>
        <w:spacing w:before="240" w:beforeLines="100" w:line="360" w:lineRule="auto"/>
        <w:rPr>
          <w:rFonts w:eastAsia="黑体"/>
          <w:bCs/>
          <w:color w:val="auto"/>
          <w:kern w:val="0"/>
          <w:sz w:val="24"/>
        </w:rPr>
      </w:pPr>
      <w:r>
        <w:rPr>
          <w:rFonts w:eastAsia="黑体"/>
          <w:bCs/>
          <w:color w:val="auto"/>
          <w:kern w:val="0"/>
          <w:sz w:val="24"/>
        </w:rPr>
        <w:t>表Ⅱ 选修课课程设置一览表</w:t>
      </w:r>
      <w:r>
        <w:rPr>
          <w:rFonts w:hint="eastAsia" w:eastAsia="黑体"/>
          <w:bCs/>
          <w:color w:val="auto"/>
          <w:kern w:val="0"/>
          <w:sz w:val="24"/>
        </w:rPr>
        <w:t xml:space="preserve">                                                                 </w:t>
      </w:r>
      <w:r>
        <w:rPr>
          <w:rFonts w:eastAsia="黑体"/>
          <w:bCs/>
          <w:color w:val="auto"/>
          <w:sz w:val="24"/>
        </w:rPr>
        <w:t>动画专业（游戏设计方向）</w:t>
      </w:r>
    </w:p>
    <w:tbl>
      <w:tblPr>
        <w:tblStyle w:val="23"/>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autofit"/>
        <w:tblCellMar>
          <w:top w:w="0" w:type="dxa"/>
          <w:left w:w="108" w:type="dxa"/>
          <w:bottom w:w="0" w:type="dxa"/>
          <w:right w:w="108" w:type="dxa"/>
        </w:tblCellMar>
      </w:tblPr>
      <w:tblGrid>
        <w:gridCol w:w="985"/>
        <w:gridCol w:w="878"/>
        <w:gridCol w:w="3460"/>
        <w:gridCol w:w="859"/>
        <w:gridCol w:w="859"/>
        <w:gridCol w:w="859"/>
        <w:gridCol w:w="714"/>
        <w:gridCol w:w="786"/>
        <w:gridCol w:w="1172"/>
        <w:gridCol w:w="876"/>
        <w:gridCol w:w="888"/>
        <w:gridCol w:w="216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303"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192"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296"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1109" w:type="pct"/>
            <w:gridSpan w:val="4"/>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404"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608" w:type="pct"/>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模块最低选修</w:t>
            </w:r>
          </w:p>
          <w:p>
            <w:pPr>
              <w:spacing w:line="240" w:lineRule="exact"/>
              <w:jc w:val="center"/>
              <w:rPr>
                <w:rFonts w:eastAsia="仿宋_GB2312"/>
                <w:b/>
                <w:color w:val="auto"/>
                <w:sz w:val="18"/>
                <w:szCs w:val="18"/>
              </w:rPr>
            </w:pPr>
            <w:r>
              <w:rPr>
                <w:rFonts w:eastAsia="仿宋_GB2312"/>
                <w:b/>
                <w:color w:val="auto"/>
                <w:sz w:val="18"/>
                <w:szCs w:val="18"/>
              </w:rPr>
              <w:t>学时学分</w:t>
            </w:r>
          </w:p>
        </w:tc>
        <w:tc>
          <w:tcPr>
            <w:tcW w:w="745"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shd w:val="clear" w:color="auto" w:fill="E6E6E6"/>
            <w:vAlign w:val="center"/>
          </w:tcPr>
          <w:p>
            <w:pPr>
              <w:spacing w:line="240" w:lineRule="exact"/>
              <w:jc w:val="center"/>
              <w:rPr>
                <w:rFonts w:eastAsia="仿宋_GB2312"/>
                <w:bCs/>
                <w:color w:val="auto"/>
                <w:sz w:val="18"/>
                <w:szCs w:val="18"/>
              </w:rPr>
            </w:pPr>
          </w:p>
        </w:tc>
        <w:tc>
          <w:tcPr>
            <w:tcW w:w="303" w:type="pct"/>
            <w:vMerge w:val="continue"/>
            <w:shd w:val="clear" w:color="auto" w:fill="E6E6E6"/>
            <w:vAlign w:val="center"/>
          </w:tcPr>
          <w:p>
            <w:pPr>
              <w:spacing w:line="240" w:lineRule="exact"/>
              <w:jc w:val="center"/>
              <w:rPr>
                <w:rFonts w:eastAsia="仿宋_GB2312"/>
                <w:bCs/>
                <w:color w:val="auto"/>
                <w:sz w:val="18"/>
                <w:szCs w:val="18"/>
              </w:rPr>
            </w:pPr>
          </w:p>
        </w:tc>
        <w:tc>
          <w:tcPr>
            <w:tcW w:w="1192" w:type="pct"/>
            <w:vMerge w:val="continue"/>
            <w:shd w:val="clear" w:color="auto" w:fill="E6E6E6"/>
            <w:vAlign w:val="center"/>
          </w:tcPr>
          <w:p>
            <w:pPr>
              <w:spacing w:line="240" w:lineRule="exact"/>
              <w:jc w:val="center"/>
              <w:rPr>
                <w:rFonts w:eastAsia="仿宋_GB2312"/>
                <w:bCs/>
                <w:color w:val="auto"/>
                <w:sz w:val="18"/>
                <w:szCs w:val="18"/>
              </w:rPr>
            </w:pPr>
          </w:p>
        </w:tc>
        <w:tc>
          <w:tcPr>
            <w:tcW w:w="296" w:type="pct"/>
            <w:vMerge w:val="continue"/>
            <w:shd w:val="clear" w:color="auto" w:fill="E6E6E6"/>
            <w:vAlign w:val="center"/>
          </w:tcPr>
          <w:p>
            <w:pPr>
              <w:spacing w:line="240" w:lineRule="exact"/>
              <w:jc w:val="center"/>
              <w:rPr>
                <w:rFonts w:eastAsia="仿宋_GB2312"/>
                <w:bCs/>
                <w:color w:val="auto"/>
                <w:sz w:val="18"/>
                <w:szCs w:val="18"/>
              </w:rPr>
            </w:pPr>
          </w:p>
        </w:tc>
        <w:tc>
          <w:tcPr>
            <w:tcW w:w="296"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296"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246"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270"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404" w:type="pct"/>
            <w:vMerge w:val="continue"/>
            <w:shd w:val="clear" w:color="auto" w:fill="E6E6E6"/>
            <w:vAlign w:val="center"/>
          </w:tcPr>
          <w:p>
            <w:pPr>
              <w:spacing w:line="240" w:lineRule="exact"/>
              <w:jc w:val="center"/>
              <w:rPr>
                <w:rFonts w:eastAsia="仿宋_GB2312"/>
                <w:bCs/>
                <w:color w:val="auto"/>
                <w:sz w:val="18"/>
                <w:szCs w:val="18"/>
              </w:rPr>
            </w:pPr>
          </w:p>
        </w:tc>
        <w:tc>
          <w:tcPr>
            <w:tcW w:w="608" w:type="pct"/>
            <w:gridSpan w:val="2"/>
            <w:vMerge w:val="continue"/>
            <w:shd w:val="clear" w:color="auto" w:fill="E6E6E6"/>
            <w:vAlign w:val="center"/>
          </w:tcPr>
          <w:p>
            <w:pPr>
              <w:spacing w:line="240" w:lineRule="exact"/>
              <w:jc w:val="center"/>
              <w:rPr>
                <w:rFonts w:eastAsia="仿宋_GB2312"/>
                <w:bCs/>
                <w:color w:val="auto"/>
                <w:sz w:val="18"/>
                <w:szCs w:val="18"/>
              </w:rPr>
            </w:pPr>
          </w:p>
        </w:tc>
        <w:tc>
          <w:tcPr>
            <w:tcW w:w="745" w:type="pct"/>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专业拓展课程（选修）</w:t>
            </w: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4070208</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外国文学</w:t>
            </w:r>
          </w:p>
          <w:p>
            <w:pPr>
              <w:spacing w:line="240" w:lineRule="exact"/>
              <w:jc w:val="left"/>
              <w:rPr>
                <w:rFonts w:eastAsia="仿宋_GB2312"/>
                <w:bCs/>
                <w:color w:val="auto"/>
                <w:sz w:val="18"/>
                <w:szCs w:val="18"/>
              </w:rPr>
            </w:pPr>
            <w:r>
              <w:rPr>
                <w:rFonts w:eastAsia="仿宋_GB2312"/>
                <w:bCs/>
                <w:color w:val="auto"/>
                <w:sz w:val="18"/>
                <w:szCs w:val="18"/>
              </w:rPr>
              <w:t>foreign literature</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608"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学术研究模块</w:t>
            </w:r>
          </w:p>
          <w:p>
            <w:pPr>
              <w:spacing w:line="240" w:lineRule="exact"/>
              <w:jc w:val="center"/>
              <w:rPr>
                <w:rFonts w:eastAsia="仿宋_GB2312"/>
                <w:bCs/>
                <w:color w:val="auto"/>
                <w:sz w:val="18"/>
                <w:szCs w:val="18"/>
              </w:rPr>
            </w:pPr>
            <w:r>
              <w:rPr>
                <w:rFonts w:eastAsia="仿宋_GB2312"/>
                <w:bCs/>
                <w:color w:val="auto"/>
                <w:sz w:val="18"/>
                <w:szCs w:val="18"/>
              </w:rPr>
              <w:t>（6学分）</w:t>
            </w: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4070232</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影视美学</w:t>
            </w:r>
          </w:p>
          <w:p>
            <w:pPr>
              <w:spacing w:line="240" w:lineRule="exact"/>
              <w:jc w:val="left"/>
              <w:rPr>
                <w:rFonts w:eastAsia="仿宋_GB2312"/>
                <w:bCs/>
                <w:color w:val="auto"/>
                <w:sz w:val="18"/>
                <w:szCs w:val="18"/>
              </w:rPr>
            </w:pPr>
            <w:r>
              <w:rPr>
                <w:rFonts w:eastAsia="仿宋_GB2312"/>
                <w:bCs/>
                <w:color w:val="auto"/>
                <w:sz w:val="18"/>
                <w:szCs w:val="18"/>
              </w:rPr>
              <w:t>Film and TV Aesthetics</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4070014</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戏剧学导论</w:t>
            </w:r>
          </w:p>
          <w:p>
            <w:pPr>
              <w:spacing w:line="240" w:lineRule="exact"/>
              <w:jc w:val="left"/>
              <w:rPr>
                <w:rFonts w:eastAsia="仿宋_GB2312"/>
                <w:bCs/>
                <w:color w:val="auto"/>
                <w:sz w:val="18"/>
                <w:szCs w:val="18"/>
              </w:rPr>
            </w:pPr>
            <w:r>
              <w:rPr>
                <w:rFonts w:eastAsia="仿宋_GB2312"/>
                <w:bCs/>
                <w:color w:val="auto"/>
                <w:sz w:val="18"/>
                <w:szCs w:val="18"/>
              </w:rPr>
              <w:t>Introduction to Drama</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4070226</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虚拟现实概论</w:t>
            </w:r>
          </w:p>
          <w:p>
            <w:pPr>
              <w:spacing w:line="240" w:lineRule="exact"/>
              <w:jc w:val="left"/>
              <w:rPr>
                <w:rFonts w:eastAsia="仿宋_GB2312"/>
                <w:bCs/>
                <w:color w:val="auto"/>
                <w:sz w:val="18"/>
                <w:szCs w:val="18"/>
              </w:rPr>
            </w:pPr>
            <w:r>
              <w:rPr>
                <w:rFonts w:eastAsia="仿宋_GB2312"/>
                <w:bCs/>
                <w:color w:val="auto"/>
                <w:sz w:val="18"/>
                <w:szCs w:val="18"/>
              </w:rPr>
              <w:t>Introduction to virtual reality</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4070169</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广播电视新闻学</w:t>
            </w:r>
          </w:p>
          <w:p>
            <w:pPr>
              <w:spacing w:line="240" w:lineRule="exact"/>
              <w:jc w:val="left"/>
              <w:rPr>
                <w:rFonts w:eastAsia="仿宋_GB2312"/>
                <w:bCs/>
                <w:color w:val="auto"/>
                <w:sz w:val="18"/>
                <w:szCs w:val="18"/>
              </w:rPr>
            </w:pPr>
            <w:r>
              <w:rPr>
                <w:rFonts w:eastAsia="仿宋_GB2312"/>
                <w:bCs/>
                <w:color w:val="auto"/>
                <w:sz w:val="18"/>
                <w:szCs w:val="18"/>
              </w:rPr>
              <w:t>Radio and TV Journalism</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4070164</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动画配音</w:t>
            </w:r>
          </w:p>
          <w:p>
            <w:pPr>
              <w:spacing w:line="240" w:lineRule="exact"/>
              <w:jc w:val="left"/>
              <w:rPr>
                <w:rFonts w:eastAsia="仿宋_GB2312"/>
                <w:bCs/>
                <w:color w:val="auto"/>
                <w:sz w:val="18"/>
                <w:szCs w:val="18"/>
              </w:rPr>
            </w:pPr>
            <w:r>
              <w:rPr>
                <w:rFonts w:eastAsia="仿宋_GB2312"/>
                <w:bCs/>
                <w:color w:val="auto"/>
                <w:sz w:val="18"/>
                <w:szCs w:val="18"/>
              </w:rPr>
              <w:t>Animation dubbing</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4070163</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动画脚本编程</w:t>
            </w:r>
          </w:p>
          <w:p>
            <w:pPr>
              <w:spacing w:line="240" w:lineRule="exact"/>
              <w:jc w:val="left"/>
              <w:rPr>
                <w:rFonts w:eastAsia="仿宋_GB2312"/>
                <w:bCs/>
                <w:color w:val="auto"/>
                <w:sz w:val="18"/>
                <w:szCs w:val="18"/>
              </w:rPr>
            </w:pPr>
            <w:r>
              <w:rPr>
                <w:rFonts w:eastAsia="仿宋_GB2312"/>
                <w:bCs/>
                <w:color w:val="auto"/>
                <w:sz w:val="18"/>
                <w:szCs w:val="18"/>
              </w:rPr>
              <w:t>Animation Programming</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4070244</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制片管理</w:t>
            </w:r>
          </w:p>
          <w:p>
            <w:pPr>
              <w:spacing w:line="240" w:lineRule="exact"/>
              <w:jc w:val="left"/>
              <w:rPr>
                <w:rFonts w:eastAsia="仿宋_GB2312"/>
                <w:bCs/>
                <w:color w:val="auto"/>
                <w:sz w:val="18"/>
                <w:szCs w:val="18"/>
              </w:rPr>
            </w:pPr>
            <w:r>
              <w:rPr>
                <w:rFonts w:eastAsia="仿宋_GB2312"/>
                <w:bCs/>
                <w:color w:val="auto"/>
                <w:sz w:val="18"/>
                <w:szCs w:val="18"/>
              </w:rPr>
              <w:t>production management</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608"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影视扩展模块</w:t>
            </w:r>
          </w:p>
          <w:p>
            <w:pPr>
              <w:spacing w:line="240" w:lineRule="exact"/>
              <w:jc w:val="center"/>
              <w:rPr>
                <w:rFonts w:eastAsia="仿宋_GB2312"/>
                <w:bCs/>
                <w:color w:val="auto"/>
                <w:sz w:val="18"/>
                <w:szCs w:val="18"/>
              </w:rPr>
            </w:pPr>
            <w:r>
              <w:rPr>
                <w:rFonts w:eastAsia="仿宋_GB2312"/>
                <w:bCs/>
                <w:color w:val="auto"/>
                <w:sz w:val="18"/>
                <w:szCs w:val="18"/>
              </w:rPr>
              <w:t>（10学分）</w:t>
            </w: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4071928</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商业摄影</w:t>
            </w:r>
          </w:p>
          <w:p>
            <w:pPr>
              <w:spacing w:line="240" w:lineRule="exact"/>
              <w:jc w:val="left"/>
              <w:rPr>
                <w:rFonts w:eastAsia="仿宋_GB2312"/>
                <w:bCs/>
                <w:color w:val="auto"/>
                <w:sz w:val="18"/>
                <w:szCs w:val="18"/>
              </w:rPr>
            </w:pPr>
            <w:r>
              <w:rPr>
                <w:rFonts w:eastAsia="仿宋_GB2312"/>
                <w:bCs/>
                <w:color w:val="auto"/>
                <w:sz w:val="18"/>
                <w:szCs w:val="18"/>
              </w:rPr>
              <w:t>Business photography</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4070178</w:t>
            </w:r>
          </w:p>
        </w:tc>
        <w:tc>
          <w:tcPr>
            <w:tcW w:w="1192"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经典动画作品赏析</w:t>
            </w:r>
          </w:p>
          <w:p>
            <w:pPr>
              <w:spacing w:line="240" w:lineRule="exact"/>
              <w:jc w:val="left"/>
              <w:rPr>
                <w:rFonts w:eastAsia="仿宋_GB2312"/>
                <w:bCs/>
                <w:color w:val="auto"/>
                <w:sz w:val="18"/>
                <w:szCs w:val="18"/>
              </w:rPr>
            </w:pPr>
            <w:r>
              <w:rPr>
                <w:rStyle w:val="128"/>
                <w:rFonts w:eastAsia="仿宋_GB2312"/>
                <w:color w:val="auto"/>
                <w:sz w:val="18"/>
                <w:szCs w:val="18"/>
              </w:rPr>
              <w:t>Analysis of classic works of animation</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4070015</w:t>
            </w:r>
          </w:p>
        </w:tc>
        <w:tc>
          <w:tcPr>
            <w:tcW w:w="1192"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影视照明基础</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Base of Film and television lighting</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4070237</w:t>
            </w:r>
          </w:p>
        </w:tc>
        <w:tc>
          <w:tcPr>
            <w:tcW w:w="1192"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影视音效与音乐</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Film Music and Sound Effects</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4070247</w:t>
            </w:r>
          </w:p>
        </w:tc>
        <w:tc>
          <w:tcPr>
            <w:tcW w:w="1192"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中外电视节目比较</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Comparison of Chinese and foreign TV programs</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4070162</w:t>
            </w:r>
          </w:p>
        </w:tc>
        <w:tc>
          <w:tcPr>
            <w:tcW w:w="1192"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动画广告</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Animation advertisement</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4070240</w:t>
            </w:r>
          </w:p>
        </w:tc>
        <w:tc>
          <w:tcPr>
            <w:tcW w:w="1192"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游戏架构设计与策划</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Game architecture design and planning</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08"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产业知识模块</w:t>
            </w:r>
          </w:p>
          <w:p>
            <w:pPr>
              <w:spacing w:line="240" w:lineRule="exact"/>
              <w:jc w:val="center"/>
              <w:rPr>
                <w:rFonts w:eastAsia="仿宋_GB2312"/>
                <w:bCs/>
                <w:color w:val="auto"/>
                <w:sz w:val="18"/>
                <w:szCs w:val="18"/>
              </w:rPr>
            </w:pPr>
            <w:r>
              <w:rPr>
                <w:rFonts w:eastAsia="仿宋_GB2312"/>
                <w:bCs/>
                <w:color w:val="auto"/>
                <w:sz w:val="18"/>
                <w:szCs w:val="18"/>
              </w:rPr>
              <w:t>（6学分）</w:t>
            </w: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4070165</w:t>
            </w:r>
          </w:p>
        </w:tc>
        <w:tc>
          <w:tcPr>
            <w:tcW w:w="1192"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动漫与游戏产品运营与推广</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Operation and promotion of animation and game products</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4070239</w:t>
            </w:r>
          </w:p>
        </w:tc>
        <w:tc>
          <w:tcPr>
            <w:tcW w:w="1192"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游戏产业前沿</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Leading edge of game industry</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4070228</w:t>
            </w:r>
          </w:p>
        </w:tc>
        <w:tc>
          <w:tcPr>
            <w:tcW w:w="1192"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影视创意产业</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Film and television creative industry</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
                <w:color w:val="auto"/>
                <w:sz w:val="18"/>
                <w:szCs w:val="18"/>
              </w:rPr>
            </w:pPr>
          </w:p>
        </w:tc>
        <w:tc>
          <w:tcPr>
            <w:tcW w:w="3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4070243</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知识产权</w:t>
            </w:r>
          </w:p>
          <w:p>
            <w:pPr>
              <w:spacing w:line="240" w:lineRule="exact"/>
              <w:jc w:val="left"/>
              <w:rPr>
                <w:rFonts w:eastAsia="仿宋_GB2312"/>
                <w:bCs/>
                <w:color w:val="auto"/>
                <w:sz w:val="18"/>
                <w:szCs w:val="18"/>
              </w:rPr>
            </w:pPr>
            <w:r>
              <w:rPr>
                <w:rFonts w:eastAsia="仿宋_GB2312"/>
                <w:bCs/>
                <w:color w:val="auto"/>
                <w:sz w:val="18"/>
                <w:szCs w:val="18"/>
              </w:rPr>
              <w:t>Intellectual property right</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通识课程（选修）</w:t>
            </w: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Ⅰ</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8"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英语模块</w:t>
            </w: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Ⅱ</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Ⅰ</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Ⅱ</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出国留学英语</w:t>
            </w:r>
          </w:p>
          <w:p>
            <w:pPr>
              <w:spacing w:line="240" w:lineRule="exact"/>
              <w:jc w:val="left"/>
              <w:rPr>
                <w:rFonts w:eastAsia="仿宋_GB2312"/>
                <w:bCs/>
                <w:color w:val="auto"/>
                <w:sz w:val="18"/>
                <w:szCs w:val="18"/>
              </w:rPr>
            </w:pPr>
            <w:r>
              <w:rPr>
                <w:rFonts w:eastAsia="仿宋_GB2312"/>
                <w:bCs/>
                <w:color w:val="auto"/>
                <w:sz w:val="18"/>
                <w:szCs w:val="18"/>
              </w:rPr>
              <w:t>English for Studying Abroad</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雅思英语1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Ⅰ</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雅思英语2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Ⅱ</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托福英语1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Ⅰ</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托福英语2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Ⅱ</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英美文学</w:t>
            </w:r>
          </w:p>
          <w:p>
            <w:pPr>
              <w:spacing w:line="240" w:lineRule="exact"/>
              <w:jc w:val="left"/>
              <w:rPr>
                <w:rFonts w:eastAsia="仿宋_GB2312"/>
                <w:bCs/>
                <w:color w:val="auto"/>
                <w:sz w:val="18"/>
                <w:szCs w:val="18"/>
              </w:rPr>
            </w:pPr>
            <w:r>
              <w:rPr>
                <w:rFonts w:eastAsia="仿宋_GB2312"/>
                <w:bCs/>
                <w:color w:val="auto"/>
                <w:sz w:val="18"/>
                <w:szCs w:val="18"/>
              </w:rPr>
              <w:t>British and American Literature</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2"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英语经典影片评论</w:t>
            </w:r>
          </w:p>
          <w:p>
            <w:pPr>
              <w:spacing w:line="240" w:lineRule="exact"/>
              <w:jc w:val="left"/>
              <w:rPr>
                <w:rFonts w:eastAsia="仿宋_GB2312"/>
                <w:bCs/>
                <w:color w:val="auto"/>
                <w:sz w:val="18"/>
                <w:szCs w:val="18"/>
              </w:rPr>
            </w:pPr>
            <w:r>
              <w:rPr>
                <w:rFonts w:eastAsia="仿宋_GB2312"/>
                <w:bCs/>
                <w:color w:val="auto"/>
                <w:sz w:val="18"/>
                <w:szCs w:val="18"/>
              </w:rPr>
              <w:t>Review of Classic English Films</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艺术导论</w:t>
            </w:r>
          </w:p>
          <w:p>
            <w:pPr>
              <w:spacing w:line="240" w:lineRule="exact"/>
              <w:jc w:val="left"/>
              <w:rPr>
                <w:rFonts w:eastAsia="仿宋_GB2312"/>
                <w:bCs/>
                <w:color w:val="auto"/>
                <w:sz w:val="18"/>
                <w:szCs w:val="18"/>
              </w:rPr>
            </w:pPr>
            <w:r>
              <w:rPr>
                <w:rFonts w:eastAsia="仿宋_GB2312"/>
                <w:bCs/>
                <w:color w:val="auto"/>
                <w:sz w:val="18"/>
                <w:szCs w:val="18"/>
              </w:rPr>
              <w:t>Introduction of Art</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美育模块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音乐鉴赏</w:t>
            </w:r>
          </w:p>
          <w:p>
            <w:pPr>
              <w:spacing w:line="240" w:lineRule="exact"/>
              <w:jc w:val="left"/>
              <w:rPr>
                <w:rFonts w:eastAsia="仿宋_GB2312"/>
                <w:bCs/>
                <w:color w:val="auto"/>
                <w:sz w:val="18"/>
                <w:szCs w:val="18"/>
              </w:rPr>
            </w:pPr>
            <w:r>
              <w:rPr>
                <w:rFonts w:eastAsia="仿宋_GB2312"/>
                <w:bCs/>
                <w:color w:val="auto"/>
                <w:sz w:val="18"/>
                <w:szCs w:val="18"/>
              </w:rPr>
              <w:t>Appreciation of music</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美术鉴赏</w:t>
            </w:r>
          </w:p>
          <w:p>
            <w:pPr>
              <w:spacing w:line="240" w:lineRule="exact"/>
              <w:jc w:val="left"/>
              <w:rPr>
                <w:rFonts w:eastAsia="仿宋_GB2312"/>
                <w:bCs/>
                <w:color w:val="auto"/>
                <w:sz w:val="18"/>
                <w:szCs w:val="18"/>
              </w:rPr>
            </w:pPr>
            <w:r>
              <w:rPr>
                <w:rFonts w:eastAsia="仿宋_GB2312"/>
                <w:bCs/>
                <w:color w:val="auto"/>
                <w:sz w:val="18"/>
                <w:szCs w:val="18"/>
              </w:rPr>
              <w:t>Appreciation of art</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影视鉴赏</w:t>
            </w:r>
          </w:p>
          <w:p>
            <w:pPr>
              <w:spacing w:line="240" w:lineRule="exact"/>
              <w:jc w:val="left"/>
              <w:rPr>
                <w:rFonts w:eastAsia="仿宋_GB2312"/>
                <w:bCs/>
                <w:color w:val="auto"/>
                <w:sz w:val="18"/>
                <w:szCs w:val="18"/>
              </w:rPr>
            </w:pPr>
            <w:r>
              <w:rPr>
                <w:rFonts w:eastAsia="仿宋_GB2312"/>
                <w:bCs/>
                <w:color w:val="auto"/>
                <w:sz w:val="18"/>
                <w:szCs w:val="18"/>
              </w:rPr>
              <w:t>Film Appreciation</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戏剧鉴赏</w:t>
            </w:r>
          </w:p>
          <w:p>
            <w:pPr>
              <w:spacing w:line="240" w:lineRule="exact"/>
              <w:jc w:val="left"/>
              <w:rPr>
                <w:rFonts w:eastAsia="仿宋_GB2312"/>
                <w:bCs/>
                <w:color w:val="auto"/>
                <w:sz w:val="18"/>
                <w:szCs w:val="18"/>
              </w:rPr>
            </w:pPr>
            <w:r>
              <w:rPr>
                <w:rFonts w:eastAsia="仿宋_GB2312"/>
                <w:bCs/>
                <w:color w:val="auto"/>
                <w:sz w:val="18"/>
                <w:szCs w:val="18"/>
              </w:rPr>
              <w:t>Appreciation of Drama</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舞蹈鉴赏</w:t>
            </w:r>
          </w:p>
          <w:p>
            <w:pPr>
              <w:spacing w:line="240" w:lineRule="exact"/>
              <w:jc w:val="left"/>
              <w:rPr>
                <w:rFonts w:eastAsia="仿宋_GB2312"/>
                <w:bCs/>
                <w:color w:val="auto"/>
                <w:sz w:val="18"/>
                <w:szCs w:val="18"/>
              </w:rPr>
            </w:pPr>
            <w:r>
              <w:rPr>
                <w:rFonts w:eastAsia="仿宋_GB2312"/>
                <w:bCs/>
                <w:color w:val="auto"/>
                <w:sz w:val="18"/>
                <w:szCs w:val="18"/>
              </w:rPr>
              <w:t>Appreciation of dancing</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书法鉴赏</w:t>
            </w:r>
          </w:p>
          <w:p>
            <w:pPr>
              <w:spacing w:line="240" w:lineRule="exact"/>
              <w:jc w:val="left"/>
              <w:rPr>
                <w:rFonts w:eastAsia="仿宋_GB2312"/>
                <w:bCs/>
                <w:color w:val="auto"/>
                <w:sz w:val="18"/>
                <w:szCs w:val="18"/>
              </w:rPr>
            </w:pPr>
            <w:r>
              <w:rPr>
                <w:rFonts w:eastAsia="仿宋_GB2312"/>
                <w:bCs/>
                <w:color w:val="auto"/>
                <w:sz w:val="18"/>
                <w:szCs w:val="18"/>
              </w:rPr>
              <w:t>Appreciation of calligraphy</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戏曲鉴赏</w:t>
            </w:r>
          </w:p>
          <w:p>
            <w:pPr>
              <w:spacing w:line="240" w:lineRule="exact"/>
              <w:jc w:val="left"/>
              <w:rPr>
                <w:rFonts w:eastAsia="仿宋_GB2312"/>
                <w:bCs/>
                <w:color w:val="auto"/>
                <w:sz w:val="18"/>
                <w:szCs w:val="18"/>
              </w:rPr>
            </w:pPr>
            <w:r>
              <w:rPr>
                <w:rFonts w:eastAsia="仿宋_GB2312"/>
                <w:bCs/>
                <w:color w:val="auto"/>
                <w:sz w:val="18"/>
                <w:szCs w:val="18"/>
              </w:rPr>
              <w:t>Appreciation on Ancient Chinese Opera</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中国农业古籍概览</w:t>
            </w:r>
          </w:p>
          <w:p>
            <w:pPr>
              <w:spacing w:line="240" w:lineRule="exact"/>
              <w:jc w:val="left"/>
              <w:rPr>
                <w:rFonts w:eastAsia="仿宋_GB2312"/>
                <w:bCs/>
                <w:color w:val="auto"/>
                <w:sz w:val="18"/>
                <w:szCs w:val="18"/>
              </w:rPr>
            </w:pPr>
            <w:r>
              <w:rPr>
                <w:rFonts w:eastAsia="仿宋_GB2312"/>
                <w:bCs/>
                <w:color w:val="auto"/>
                <w:sz w:val="18"/>
                <w:szCs w:val="18"/>
              </w:rPr>
              <w:t>An Introduction to Ancient Chinese Agricultural Books</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思政模块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西方哲学思潮</w:t>
            </w:r>
          </w:p>
          <w:p>
            <w:pPr>
              <w:spacing w:line="240" w:lineRule="exact"/>
              <w:jc w:val="left"/>
              <w:rPr>
                <w:rFonts w:eastAsia="仿宋_GB2312"/>
                <w:bCs/>
                <w:color w:val="auto"/>
                <w:sz w:val="18"/>
                <w:szCs w:val="18"/>
              </w:rPr>
            </w:pPr>
            <w:r>
              <w:rPr>
                <w:rFonts w:eastAsia="仿宋_GB2312"/>
                <w:bCs/>
                <w:color w:val="auto"/>
                <w:sz w:val="18"/>
                <w:szCs w:val="18"/>
              </w:rPr>
              <w:t>Trend of Thoughts in Western Philosophy</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西方哲学史</w:t>
            </w:r>
          </w:p>
          <w:p>
            <w:pPr>
              <w:spacing w:line="240" w:lineRule="exact"/>
              <w:jc w:val="left"/>
              <w:rPr>
                <w:rFonts w:eastAsia="仿宋_GB2312"/>
                <w:bCs/>
                <w:color w:val="auto"/>
                <w:sz w:val="18"/>
                <w:szCs w:val="18"/>
              </w:rPr>
            </w:pPr>
            <w:r>
              <w:rPr>
                <w:rFonts w:eastAsia="仿宋_GB2312"/>
                <w:bCs/>
                <w:color w:val="auto"/>
                <w:sz w:val="18"/>
                <w:szCs w:val="18"/>
              </w:rPr>
              <w:t>History of Western Philosophy</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宗教与中国社会</w:t>
            </w:r>
          </w:p>
          <w:p>
            <w:pPr>
              <w:spacing w:line="240" w:lineRule="exact"/>
              <w:jc w:val="left"/>
              <w:rPr>
                <w:rFonts w:eastAsia="仿宋_GB2312"/>
                <w:bCs/>
                <w:color w:val="auto"/>
                <w:sz w:val="18"/>
                <w:szCs w:val="18"/>
              </w:rPr>
            </w:pPr>
            <w:r>
              <w:rPr>
                <w:rFonts w:eastAsia="仿宋_GB2312"/>
                <w:bCs/>
                <w:color w:val="auto"/>
                <w:sz w:val="18"/>
                <w:szCs w:val="18"/>
              </w:rPr>
              <w:t>Religion and Chinese Society</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中国文化史</w:t>
            </w:r>
          </w:p>
          <w:p>
            <w:pPr>
              <w:spacing w:line="240" w:lineRule="exact"/>
              <w:jc w:val="left"/>
              <w:rPr>
                <w:rFonts w:eastAsia="仿宋_GB2312"/>
                <w:bCs/>
                <w:color w:val="auto"/>
                <w:sz w:val="18"/>
                <w:szCs w:val="18"/>
              </w:rPr>
            </w:pPr>
            <w:r>
              <w:rPr>
                <w:rFonts w:eastAsia="仿宋_GB2312"/>
                <w:bCs/>
                <w:color w:val="auto"/>
                <w:sz w:val="18"/>
                <w:szCs w:val="18"/>
              </w:rPr>
              <w:t>History of Chinese Culture</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办公自动化</w:t>
            </w:r>
          </w:p>
          <w:p>
            <w:pPr>
              <w:spacing w:line="240" w:lineRule="exact"/>
              <w:jc w:val="left"/>
              <w:rPr>
                <w:rFonts w:eastAsia="仿宋_GB2312"/>
                <w:bCs/>
                <w:color w:val="auto"/>
                <w:sz w:val="18"/>
                <w:szCs w:val="18"/>
              </w:rPr>
            </w:pPr>
            <w:r>
              <w:rPr>
                <w:rFonts w:eastAsia="仿宋_GB2312"/>
                <w:bCs/>
                <w:color w:val="auto"/>
                <w:sz w:val="18"/>
                <w:szCs w:val="18"/>
              </w:rPr>
              <w:t>Office Automation</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计算机模块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多媒体技术应用</w:t>
            </w:r>
          </w:p>
          <w:p>
            <w:pPr>
              <w:spacing w:line="240" w:lineRule="exact"/>
              <w:jc w:val="left"/>
              <w:rPr>
                <w:rFonts w:eastAsia="仿宋_GB2312"/>
                <w:bCs/>
                <w:color w:val="auto"/>
                <w:sz w:val="18"/>
                <w:szCs w:val="18"/>
              </w:rPr>
            </w:pPr>
            <w:r>
              <w:rPr>
                <w:rFonts w:eastAsia="仿宋_GB2312"/>
                <w:bCs/>
                <w:color w:val="auto"/>
                <w:sz w:val="18"/>
                <w:szCs w:val="18"/>
              </w:rPr>
              <w:t>The Application of Multimedia Technology</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网络技术应用</w:t>
            </w:r>
          </w:p>
          <w:p>
            <w:pPr>
              <w:spacing w:line="240" w:lineRule="exact"/>
              <w:jc w:val="left"/>
              <w:rPr>
                <w:rFonts w:eastAsia="仿宋_GB2312"/>
                <w:bCs/>
                <w:color w:val="auto"/>
                <w:sz w:val="18"/>
                <w:szCs w:val="18"/>
              </w:rPr>
            </w:pPr>
            <w:r>
              <w:rPr>
                <w:rFonts w:eastAsia="仿宋_GB2312"/>
                <w:bCs/>
                <w:color w:val="auto"/>
                <w:sz w:val="18"/>
                <w:szCs w:val="18"/>
              </w:rPr>
              <w:t xml:space="preserve">The Application of Network Technology </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8" w:type="pct"/>
            <w:gridSpan w:val="2"/>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中国古代小说名作鉴赏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Novels</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文学与文化类</w:t>
            </w:r>
          </w:p>
        </w:tc>
        <w:tc>
          <w:tcPr>
            <w:tcW w:w="306"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74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中国古代诗词名作鉴赏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Poetry</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2" w:type="pct"/>
            <w:vMerge w:val="continue"/>
            <w:vAlign w:val="center"/>
          </w:tcPr>
          <w:p>
            <w:pPr>
              <w:spacing w:line="240" w:lineRule="exact"/>
              <w:jc w:val="center"/>
              <w:rPr>
                <w:rFonts w:eastAsia="仿宋_GB2312"/>
                <w:bCs/>
                <w:color w:val="auto"/>
                <w:sz w:val="18"/>
                <w:szCs w:val="18"/>
              </w:rPr>
            </w:pP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中国现当代文学名作鉴赏</w:t>
            </w:r>
          </w:p>
          <w:p>
            <w:pPr>
              <w:spacing w:line="240" w:lineRule="exact"/>
              <w:jc w:val="left"/>
              <w:rPr>
                <w:rFonts w:eastAsia="仿宋_GB2312"/>
                <w:bCs/>
                <w:color w:val="auto"/>
                <w:sz w:val="18"/>
                <w:szCs w:val="18"/>
              </w:rPr>
            </w:pPr>
            <w:r>
              <w:rPr>
                <w:rFonts w:eastAsia="仿宋_GB2312"/>
                <w:bCs/>
                <w:color w:val="auto"/>
                <w:sz w:val="18"/>
                <w:szCs w:val="18"/>
              </w:rPr>
              <w:t>Introduction to Modern and Contemporary Chinese Literary Classics</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2" w:type="pct"/>
            <w:vMerge w:val="continue"/>
            <w:vAlign w:val="center"/>
          </w:tcPr>
          <w:p>
            <w:pPr>
              <w:spacing w:line="240" w:lineRule="exact"/>
              <w:jc w:val="center"/>
              <w:rPr>
                <w:rFonts w:eastAsia="仿宋_GB2312"/>
                <w:bCs/>
                <w:color w:val="auto"/>
                <w:sz w:val="18"/>
                <w:szCs w:val="18"/>
              </w:rPr>
            </w:pP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语言文字与文化</w:t>
            </w:r>
          </w:p>
          <w:p>
            <w:pPr>
              <w:spacing w:line="240" w:lineRule="exact"/>
              <w:jc w:val="left"/>
              <w:rPr>
                <w:rFonts w:eastAsia="仿宋_GB2312"/>
                <w:bCs/>
                <w:color w:val="auto"/>
                <w:sz w:val="18"/>
                <w:szCs w:val="18"/>
              </w:rPr>
            </w:pPr>
            <w:r>
              <w:rPr>
                <w:rFonts w:eastAsia="仿宋_GB2312"/>
                <w:bCs/>
                <w:color w:val="auto"/>
                <w:sz w:val="18"/>
                <w:szCs w:val="18"/>
              </w:rPr>
              <w:t>Language Characters and Culture</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语言与文化类</w:t>
            </w: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对外汉语教学与实践</w:t>
            </w:r>
          </w:p>
          <w:p>
            <w:pPr>
              <w:spacing w:line="240" w:lineRule="exact"/>
              <w:jc w:val="left"/>
              <w:rPr>
                <w:rFonts w:eastAsia="仿宋_GB2312"/>
                <w:bCs/>
                <w:color w:val="auto"/>
                <w:sz w:val="18"/>
                <w:szCs w:val="18"/>
              </w:rPr>
            </w:pPr>
            <w:r>
              <w:rPr>
                <w:rFonts w:eastAsia="仿宋_GB2312"/>
                <w:bCs/>
                <w:color w:val="auto"/>
                <w:sz w:val="18"/>
                <w:szCs w:val="18"/>
              </w:rPr>
              <w:t>Theory and Practice of Teaching Chinese as a Foreign Language</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2" w:type="pct"/>
            <w:vMerge w:val="continue"/>
            <w:vAlign w:val="center"/>
          </w:tcPr>
          <w:p>
            <w:pPr>
              <w:spacing w:line="240" w:lineRule="exact"/>
              <w:jc w:val="center"/>
              <w:rPr>
                <w:rFonts w:eastAsia="仿宋_GB2312"/>
                <w:bCs/>
                <w:color w:val="auto"/>
                <w:sz w:val="18"/>
                <w:szCs w:val="18"/>
              </w:rPr>
            </w:pP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语言修辞与人际交往</w:t>
            </w:r>
          </w:p>
          <w:p>
            <w:pPr>
              <w:spacing w:line="240" w:lineRule="exact"/>
              <w:jc w:val="left"/>
              <w:rPr>
                <w:rFonts w:eastAsia="仿宋_GB2312"/>
                <w:bCs/>
                <w:color w:val="auto"/>
                <w:sz w:val="18"/>
                <w:szCs w:val="18"/>
              </w:rPr>
            </w:pPr>
            <w:r>
              <w:rPr>
                <w:rFonts w:eastAsia="仿宋_GB2312"/>
                <w:bCs/>
                <w:color w:val="auto"/>
                <w:sz w:val="18"/>
                <w:szCs w:val="18"/>
              </w:rPr>
              <w:t>Language Rhetoric and Interpersonal Communication</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2" w:type="pct"/>
            <w:vMerge w:val="continue"/>
            <w:vAlign w:val="center"/>
          </w:tcPr>
          <w:p>
            <w:pPr>
              <w:spacing w:line="240" w:lineRule="exact"/>
              <w:jc w:val="center"/>
              <w:rPr>
                <w:rFonts w:eastAsia="仿宋_GB2312"/>
                <w:bCs/>
                <w:color w:val="auto"/>
                <w:sz w:val="18"/>
                <w:szCs w:val="18"/>
              </w:rPr>
            </w:pP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409003</w:t>
            </w:r>
            <w:r>
              <w:rPr>
                <w:rFonts w:hint="eastAsia" w:cs="Times New Roman"/>
                <w:i w:val="0"/>
                <w:color w:val="auto"/>
                <w:kern w:val="0"/>
                <w:sz w:val="18"/>
                <w:szCs w:val="18"/>
                <w:u w:val="none"/>
                <w:lang w:val="en-US" w:eastAsia="zh-CN" w:bidi="ar"/>
              </w:rPr>
              <w:t>4</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社交语言艺术</w:t>
            </w:r>
          </w:p>
          <w:p>
            <w:pPr>
              <w:spacing w:line="240" w:lineRule="exact"/>
              <w:jc w:val="left"/>
              <w:rPr>
                <w:rFonts w:eastAsia="仿宋_GB2312"/>
                <w:bCs/>
                <w:color w:val="auto"/>
                <w:sz w:val="18"/>
                <w:szCs w:val="18"/>
              </w:rPr>
            </w:pPr>
            <w:r>
              <w:rPr>
                <w:rFonts w:eastAsia="仿宋_GB2312"/>
                <w:bCs/>
                <w:color w:val="auto"/>
                <w:sz w:val="18"/>
                <w:szCs w:val="18"/>
              </w:rPr>
              <w:t xml:space="preserve">Art of Social Language   </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2" w:type="pct"/>
            <w:vMerge w:val="continue"/>
            <w:vAlign w:val="center"/>
          </w:tcPr>
          <w:p>
            <w:pPr>
              <w:spacing w:line="240" w:lineRule="exact"/>
              <w:jc w:val="center"/>
              <w:rPr>
                <w:rFonts w:eastAsia="仿宋_GB2312"/>
                <w:bCs/>
                <w:color w:val="auto"/>
                <w:sz w:val="18"/>
                <w:szCs w:val="18"/>
              </w:rPr>
            </w:pP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演讲与口才</w:t>
            </w:r>
          </w:p>
          <w:p>
            <w:pPr>
              <w:spacing w:line="240" w:lineRule="exact"/>
              <w:jc w:val="left"/>
              <w:rPr>
                <w:rFonts w:eastAsia="仿宋_GB2312"/>
                <w:bCs/>
                <w:color w:val="auto"/>
                <w:sz w:val="18"/>
                <w:szCs w:val="18"/>
              </w:rPr>
            </w:pPr>
            <w:r>
              <w:rPr>
                <w:rFonts w:eastAsia="仿宋_GB2312"/>
                <w:bCs/>
                <w:color w:val="auto"/>
                <w:sz w:val="18"/>
                <w:szCs w:val="18"/>
              </w:rPr>
              <w:t>Speech and Eloquence</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2" w:type="pct"/>
            <w:vMerge w:val="continue"/>
            <w:vAlign w:val="center"/>
          </w:tcPr>
          <w:p>
            <w:pPr>
              <w:spacing w:line="240" w:lineRule="exact"/>
              <w:jc w:val="center"/>
              <w:rPr>
                <w:rFonts w:eastAsia="仿宋_GB2312"/>
                <w:bCs/>
                <w:color w:val="auto"/>
                <w:sz w:val="18"/>
                <w:szCs w:val="18"/>
              </w:rPr>
            </w:pP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普通话训练与测试</w:t>
            </w:r>
          </w:p>
          <w:p>
            <w:pPr>
              <w:spacing w:line="240" w:lineRule="exact"/>
              <w:jc w:val="left"/>
              <w:rPr>
                <w:rFonts w:eastAsia="仿宋_GB2312"/>
                <w:bCs/>
                <w:color w:val="auto"/>
                <w:sz w:val="18"/>
                <w:szCs w:val="18"/>
              </w:rPr>
            </w:pPr>
            <w:r>
              <w:rPr>
                <w:rFonts w:eastAsia="仿宋_GB2312"/>
                <w:bCs/>
                <w:color w:val="auto"/>
                <w:sz w:val="18"/>
                <w:szCs w:val="18"/>
              </w:rPr>
              <w:t>Mandarine Practice and Testing</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2" w:type="pct"/>
            <w:vMerge w:val="continue"/>
            <w:vAlign w:val="center"/>
          </w:tcPr>
          <w:p>
            <w:pPr>
              <w:spacing w:line="240" w:lineRule="exact"/>
              <w:jc w:val="center"/>
              <w:rPr>
                <w:rFonts w:eastAsia="仿宋_GB2312"/>
                <w:bCs/>
                <w:color w:val="auto"/>
                <w:sz w:val="18"/>
                <w:szCs w:val="18"/>
              </w:rPr>
            </w:pP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409003</w:t>
            </w:r>
            <w:r>
              <w:rPr>
                <w:rFonts w:hint="eastAsia" w:cs="Times New Roman"/>
                <w:i w:val="0"/>
                <w:color w:val="auto"/>
                <w:kern w:val="0"/>
                <w:sz w:val="18"/>
                <w:szCs w:val="18"/>
                <w:u w:val="none"/>
                <w:lang w:val="en-US" w:eastAsia="zh-CN" w:bidi="ar"/>
              </w:rPr>
              <w:t>7</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创意写作</w:t>
            </w:r>
          </w:p>
          <w:p>
            <w:pPr>
              <w:spacing w:line="240" w:lineRule="exact"/>
              <w:jc w:val="left"/>
              <w:rPr>
                <w:rFonts w:eastAsia="仿宋_GB2312"/>
                <w:bCs/>
                <w:color w:val="auto"/>
                <w:sz w:val="18"/>
                <w:szCs w:val="18"/>
              </w:rPr>
            </w:pPr>
            <w:r>
              <w:rPr>
                <w:rFonts w:eastAsia="仿宋_GB2312"/>
                <w:bCs/>
                <w:color w:val="auto"/>
                <w:sz w:val="18"/>
                <w:szCs w:val="18"/>
              </w:rPr>
              <w:t>Creative Writing</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0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写作类</w:t>
            </w: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409003</w:t>
            </w:r>
            <w:r>
              <w:rPr>
                <w:rFonts w:hint="eastAsia" w:cs="Times New Roman"/>
                <w:i w:val="0"/>
                <w:color w:val="auto"/>
                <w:kern w:val="0"/>
                <w:sz w:val="18"/>
                <w:szCs w:val="18"/>
                <w:u w:val="none"/>
                <w:lang w:val="en-US" w:eastAsia="zh-CN" w:bidi="ar"/>
              </w:rPr>
              <w:t>8</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应用写作</w:t>
            </w:r>
          </w:p>
          <w:p>
            <w:pPr>
              <w:spacing w:line="240" w:lineRule="exact"/>
              <w:jc w:val="left"/>
              <w:rPr>
                <w:rFonts w:eastAsia="仿宋_GB2312"/>
                <w:bCs/>
                <w:color w:val="auto"/>
                <w:sz w:val="18"/>
                <w:szCs w:val="18"/>
              </w:rPr>
            </w:pPr>
            <w:r>
              <w:rPr>
                <w:rFonts w:eastAsia="仿宋_GB2312"/>
                <w:bCs/>
                <w:color w:val="auto"/>
                <w:sz w:val="18"/>
                <w:szCs w:val="18"/>
              </w:rPr>
              <w:t>Practical Writing</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02" w:type="pct"/>
            <w:vMerge w:val="continue"/>
            <w:vAlign w:val="center"/>
          </w:tcPr>
          <w:p>
            <w:pPr>
              <w:spacing w:line="240" w:lineRule="exact"/>
              <w:jc w:val="center"/>
              <w:rPr>
                <w:rFonts w:eastAsia="仿宋_GB2312"/>
                <w:bCs/>
                <w:color w:val="auto"/>
                <w:sz w:val="18"/>
                <w:szCs w:val="18"/>
              </w:rPr>
            </w:pP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中国传统文化概论</w:t>
            </w:r>
          </w:p>
          <w:p>
            <w:pPr>
              <w:spacing w:line="240" w:lineRule="exact"/>
              <w:jc w:val="left"/>
              <w:rPr>
                <w:rFonts w:eastAsia="仿宋_GB2312"/>
                <w:bCs/>
                <w:color w:val="auto"/>
                <w:sz w:val="18"/>
                <w:szCs w:val="18"/>
              </w:rPr>
            </w:pPr>
            <w:r>
              <w:rPr>
                <w:rFonts w:eastAsia="仿宋_GB2312"/>
                <w:bCs/>
                <w:color w:val="auto"/>
                <w:sz w:val="18"/>
                <w:szCs w:val="18"/>
              </w:rPr>
              <w:t>An Introduction to Chinese Classical Culture</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0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传统文化类</w:t>
            </w: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303"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1192" w:type="pct"/>
            <w:vAlign w:val="center"/>
          </w:tcPr>
          <w:p>
            <w:pPr>
              <w:spacing w:line="240" w:lineRule="exact"/>
              <w:jc w:val="left"/>
              <w:rPr>
                <w:rFonts w:eastAsia="仿宋_GB2312"/>
                <w:bCs/>
                <w:color w:val="auto"/>
                <w:sz w:val="18"/>
                <w:szCs w:val="18"/>
              </w:rPr>
            </w:pPr>
            <w:r>
              <w:rPr>
                <w:rFonts w:eastAsia="仿宋_GB2312"/>
                <w:bCs/>
                <w:color w:val="auto"/>
                <w:sz w:val="18"/>
                <w:szCs w:val="18"/>
              </w:rPr>
              <w:t>中国社会思想史</w:t>
            </w:r>
          </w:p>
          <w:p>
            <w:pPr>
              <w:spacing w:line="240" w:lineRule="exact"/>
              <w:jc w:val="left"/>
              <w:rPr>
                <w:rFonts w:eastAsia="仿宋_GB2312"/>
                <w:bCs/>
                <w:color w:val="auto"/>
                <w:sz w:val="18"/>
                <w:szCs w:val="18"/>
              </w:rPr>
            </w:pPr>
            <w:r>
              <w:rPr>
                <w:rFonts w:eastAsia="仿宋_GB2312"/>
                <w:bCs/>
                <w:color w:val="auto"/>
                <w:sz w:val="18"/>
                <w:szCs w:val="18"/>
              </w:rPr>
              <w:t>History of Chinese Thought in Sociological Perspective</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02" w:type="pct"/>
            <w:vMerge w:val="continue"/>
            <w:vAlign w:val="center"/>
          </w:tcPr>
          <w:p>
            <w:pPr>
              <w:spacing w:line="240" w:lineRule="exact"/>
              <w:jc w:val="center"/>
              <w:rPr>
                <w:rFonts w:eastAsia="仿宋_GB2312"/>
                <w:bCs/>
                <w:color w:val="auto"/>
                <w:sz w:val="18"/>
                <w:szCs w:val="18"/>
              </w:rPr>
            </w:pPr>
          </w:p>
        </w:tc>
        <w:tc>
          <w:tcPr>
            <w:tcW w:w="306" w:type="pct"/>
            <w:vMerge w:val="continue"/>
            <w:vAlign w:val="center"/>
          </w:tcPr>
          <w:p>
            <w:pPr>
              <w:spacing w:line="240" w:lineRule="exact"/>
              <w:jc w:val="center"/>
              <w:rPr>
                <w:rFonts w:eastAsia="仿宋_GB2312"/>
                <w:bCs/>
                <w:color w:val="auto"/>
                <w:sz w:val="18"/>
                <w:szCs w:val="18"/>
              </w:rPr>
            </w:pPr>
          </w:p>
        </w:tc>
        <w:tc>
          <w:tcPr>
            <w:tcW w:w="745"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1496" w:type="pct"/>
            <w:gridSpan w:val="2"/>
            <w:vAlign w:val="center"/>
          </w:tcPr>
          <w:p>
            <w:pPr>
              <w:spacing w:line="240" w:lineRule="exact"/>
              <w:jc w:val="left"/>
              <w:rPr>
                <w:rFonts w:eastAsia="仿宋_GB2312"/>
                <w:bCs/>
                <w:color w:val="auto"/>
                <w:sz w:val="18"/>
                <w:szCs w:val="18"/>
              </w:rPr>
            </w:pPr>
            <w:r>
              <w:rPr>
                <w:rFonts w:eastAsia="仿宋_GB2312"/>
                <w:bCs/>
                <w:color w:val="auto"/>
                <w:sz w:val="18"/>
                <w:szCs w:val="18"/>
              </w:rPr>
              <w:t>其他类通识选修课程</w:t>
            </w:r>
          </w:p>
        </w:tc>
        <w:tc>
          <w:tcPr>
            <w:tcW w:w="296" w:type="pct"/>
            <w:vAlign w:val="center"/>
          </w:tcPr>
          <w:p>
            <w:pPr>
              <w:spacing w:line="240" w:lineRule="exact"/>
              <w:jc w:val="center"/>
              <w:rPr>
                <w:rFonts w:eastAsia="仿宋_GB2312"/>
                <w:bCs/>
                <w:color w:val="auto"/>
                <w:sz w:val="18"/>
                <w:szCs w:val="18"/>
              </w:rPr>
            </w:pPr>
          </w:p>
        </w:tc>
        <w:tc>
          <w:tcPr>
            <w:tcW w:w="296" w:type="pct"/>
            <w:vAlign w:val="center"/>
          </w:tcPr>
          <w:p>
            <w:pPr>
              <w:spacing w:line="240" w:lineRule="exact"/>
              <w:jc w:val="center"/>
              <w:rPr>
                <w:rFonts w:eastAsia="仿宋_GB2312"/>
                <w:bCs/>
                <w:color w:val="auto"/>
                <w:sz w:val="18"/>
                <w:szCs w:val="18"/>
              </w:rPr>
            </w:pPr>
          </w:p>
        </w:tc>
        <w:tc>
          <w:tcPr>
            <w:tcW w:w="296" w:type="pct"/>
            <w:vAlign w:val="center"/>
          </w:tcPr>
          <w:p>
            <w:pPr>
              <w:spacing w:line="240" w:lineRule="exact"/>
              <w:jc w:val="center"/>
              <w:rPr>
                <w:rFonts w:eastAsia="仿宋_GB2312"/>
                <w:bCs/>
                <w:color w:val="auto"/>
                <w:sz w:val="18"/>
                <w:szCs w:val="18"/>
              </w:rPr>
            </w:pPr>
          </w:p>
        </w:tc>
        <w:tc>
          <w:tcPr>
            <w:tcW w:w="246" w:type="pct"/>
            <w:vAlign w:val="center"/>
          </w:tcPr>
          <w:p>
            <w:pPr>
              <w:spacing w:line="240" w:lineRule="exact"/>
              <w:jc w:val="center"/>
              <w:rPr>
                <w:rFonts w:eastAsia="仿宋_GB2312"/>
                <w:bCs/>
                <w:color w:val="auto"/>
                <w:sz w:val="18"/>
                <w:szCs w:val="18"/>
              </w:rPr>
            </w:pPr>
          </w:p>
        </w:tc>
        <w:tc>
          <w:tcPr>
            <w:tcW w:w="270" w:type="pct"/>
            <w:vAlign w:val="center"/>
          </w:tcPr>
          <w:p>
            <w:pPr>
              <w:spacing w:line="240" w:lineRule="exact"/>
              <w:jc w:val="center"/>
              <w:rPr>
                <w:rFonts w:eastAsia="仿宋_GB2312"/>
                <w:bCs/>
                <w:color w:val="auto"/>
                <w:sz w:val="18"/>
                <w:szCs w:val="18"/>
              </w:rPr>
            </w:pPr>
          </w:p>
        </w:tc>
        <w:tc>
          <w:tcPr>
            <w:tcW w:w="404" w:type="pct"/>
            <w:vAlign w:val="center"/>
          </w:tcPr>
          <w:p>
            <w:pPr>
              <w:spacing w:line="240" w:lineRule="exact"/>
              <w:jc w:val="center"/>
              <w:rPr>
                <w:rFonts w:eastAsia="仿宋_GB2312"/>
                <w:bCs/>
                <w:color w:val="auto"/>
                <w:sz w:val="18"/>
                <w:szCs w:val="18"/>
              </w:rPr>
            </w:pPr>
          </w:p>
        </w:tc>
        <w:tc>
          <w:tcPr>
            <w:tcW w:w="608" w:type="pct"/>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其他通识选修课程</w:t>
            </w:r>
          </w:p>
        </w:tc>
        <w:tc>
          <w:tcPr>
            <w:tcW w:w="745" w:type="pct"/>
            <w:vAlign w:val="center"/>
          </w:tcPr>
          <w:p>
            <w:pPr>
              <w:spacing w:line="2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40" w:type="pct"/>
            <w:vMerge w:val="continue"/>
            <w:vAlign w:val="center"/>
          </w:tcPr>
          <w:p>
            <w:pPr>
              <w:spacing w:line="240" w:lineRule="exact"/>
              <w:jc w:val="center"/>
              <w:rPr>
                <w:rFonts w:eastAsia="仿宋_GB2312"/>
                <w:bCs/>
                <w:color w:val="auto"/>
                <w:sz w:val="18"/>
                <w:szCs w:val="18"/>
              </w:rPr>
            </w:pPr>
          </w:p>
        </w:tc>
        <w:tc>
          <w:tcPr>
            <w:tcW w:w="4659" w:type="pct"/>
            <w:gridSpan w:val="11"/>
            <w:vAlign w:val="center"/>
          </w:tcPr>
          <w:p>
            <w:pPr>
              <w:spacing w:line="240" w:lineRule="exact"/>
              <w:ind w:firstLine="360" w:firstLineChars="200"/>
              <w:rPr>
                <w:rFonts w:eastAsia="仿宋_GB2312"/>
                <w:bCs/>
                <w:color w:val="auto"/>
                <w:sz w:val="18"/>
                <w:szCs w:val="18"/>
              </w:rPr>
            </w:pPr>
            <w:r>
              <w:rPr>
                <w:rFonts w:eastAsia="仿宋_GB2312"/>
                <w:bCs/>
                <w:color w:val="auto"/>
                <w:sz w:val="18"/>
                <w:szCs w:val="18"/>
              </w:rPr>
              <w:t>学期：一</w:t>
            </w:r>
            <w:r>
              <w:rPr>
                <w:rFonts w:hint="eastAsia" w:eastAsia="仿宋_GB2312"/>
                <w:bCs/>
                <w:color w:val="auto"/>
                <w:sz w:val="18"/>
                <w:szCs w:val="18"/>
              </w:rPr>
              <w:t xml:space="preserve"> </w:t>
            </w:r>
            <w:r>
              <w:rPr>
                <w:rFonts w:eastAsia="仿宋_GB2312"/>
                <w:bCs/>
                <w:color w:val="auto"/>
                <w:sz w:val="18"/>
                <w:szCs w:val="18"/>
              </w:rPr>
              <w:t xml:space="preserve">  二</w:t>
            </w:r>
            <w:r>
              <w:rPr>
                <w:rFonts w:hint="eastAsia" w:eastAsia="仿宋_GB2312"/>
                <w:bCs/>
                <w:color w:val="auto"/>
                <w:sz w:val="18"/>
                <w:szCs w:val="18"/>
              </w:rPr>
              <w:t xml:space="preserve">    </w:t>
            </w:r>
            <w:r>
              <w:rPr>
                <w:rFonts w:eastAsia="仿宋_GB2312"/>
                <w:bCs/>
                <w:color w:val="auto"/>
                <w:sz w:val="18"/>
                <w:szCs w:val="18"/>
              </w:rPr>
              <w:t>三</w:t>
            </w:r>
            <w:r>
              <w:rPr>
                <w:rFonts w:hint="eastAsia" w:eastAsia="仿宋_GB2312"/>
                <w:bCs/>
                <w:color w:val="auto"/>
                <w:sz w:val="18"/>
                <w:szCs w:val="18"/>
              </w:rPr>
              <w:t xml:space="preserve">   </w:t>
            </w:r>
            <w:r>
              <w:rPr>
                <w:rFonts w:eastAsia="仿宋_GB2312"/>
                <w:bCs/>
                <w:color w:val="auto"/>
                <w:sz w:val="18"/>
                <w:szCs w:val="18"/>
              </w:rPr>
              <w:t>四</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六</w:t>
            </w:r>
            <w:r>
              <w:rPr>
                <w:rFonts w:hint="eastAsia" w:eastAsia="仿宋_GB2312"/>
                <w:bCs/>
                <w:color w:val="auto"/>
                <w:sz w:val="18"/>
                <w:szCs w:val="18"/>
              </w:rPr>
              <w:t xml:space="preserve">   </w:t>
            </w:r>
            <w:r>
              <w:rPr>
                <w:rFonts w:eastAsia="仿宋_GB2312"/>
                <w:bCs/>
                <w:color w:val="auto"/>
                <w:sz w:val="18"/>
                <w:szCs w:val="18"/>
              </w:rPr>
              <w:t>七</w:t>
            </w:r>
            <w:r>
              <w:rPr>
                <w:rFonts w:hint="eastAsia" w:eastAsia="仿宋_GB2312"/>
                <w:bCs/>
                <w:color w:val="auto"/>
                <w:sz w:val="18"/>
                <w:szCs w:val="18"/>
              </w:rPr>
              <w:t xml:space="preserve">   </w:t>
            </w:r>
            <w:r>
              <w:rPr>
                <w:rFonts w:eastAsia="仿宋_GB2312"/>
                <w:bCs/>
                <w:color w:val="auto"/>
                <w:sz w:val="18"/>
                <w:szCs w:val="18"/>
              </w:rPr>
              <w:t>合计</w:t>
            </w:r>
          </w:p>
          <w:p>
            <w:pPr>
              <w:spacing w:line="240" w:lineRule="exact"/>
              <w:ind w:firstLine="368" w:firstLineChars="205"/>
              <w:rPr>
                <w:rFonts w:eastAsia="仿宋_GB2312"/>
                <w:bCs/>
                <w:color w:val="auto"/>
                <w:sz w:val="18"/>
                <w:szCs w:val="18"/>
              </w:rPr>
            </w:pPr>
            <w:r>
              <w:rPr>
                <w:rFonts w:eastAsia="仿宋_GB2312"/>
                <w:bCs/>
                <w:color w:val="auto"/>
                <w:sz w:val="18"/>
                <w:szCs w:val="18"/>
              </w:rPr>
              <w:t>学时：      96   32   32   32             192</w:t>
            </w:r>
          </w:p>
          <w:p>
            <w:pPr>
              <w:spacing w:line="240" w:lineRule="exact"/>
              <w:ind w:firstLine="368" w:firstLineChars="205"/>
              <w:rPr>
                <w:rFonts w:eastAsia="仿宋_GB2312"/>
                <w:bCs/>
                <w:color w:val="auto"/>
                <w:sz w:val="18"/>
                <w:szCs w:val="18"/>
              </w:rPr>
            </w:pPr>
            <w:r>
              <w:rPr>
                <w:rFonts w:eastAsia="仿宋_GB2312"/>
                <w:bCs/>
                <w:color w:val="auto"/>
                <w:sz w:val="18"/>
                <w:szCs w:val="18"/>
              </w:rPr>
              <w:t>学分：      6    2     2    2              12</w:t>
            </w:r>
          </w:p>
          <w:p>
            <w:pPr>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before="120" w:beforeLines="50" w:line="360" w:lineRule="auto"/>
        <w:ind w:firstLine="480" w:firstLineChars="200"/>
        <w:rPr>
          <w:rFonts w:eastAsia="黑体"/>
          <w:bCs/>
          <w:color w:val="auto"/>
          <w:kern w:val="0"/>
          <w:sz w:val="24"/>
        </w:rPr>
        <w:sectPr>
          <w:pgSz w:w="16838" w:h="11906" w:orient="landscape"/>
          <w:pgMar w:top="1531" w:right="1020" w:bottom="1134" w:left="1531" w:header="851" w:footer="1531" w:gutter="0"/>
          <w:pgNumType w:fmt="numberInDash"/>
          <w:cols w:space="720" w:num="1"/>
          <w:docGrid w:linePitch="312" w:charSpace="0"/>
        </w:sectPr>
      </w:pPr>
    </w:p>
    <w:p>
      <w:pPr>
        <w:adjustRightInd w:val="0"/>
        <w:spacing w:before="120" w:beforeLines="50" w:line="360" w:lineRule="auto"/>
        <w:ind w:firstLine="600" w:firstLineChars="200"/>
        <w:outlineLvl w:val="0"/>
        <w:rPr>
          <w:rFonts w:eastAsia="楷体_GB2312"/>
          <w:bCs/>
          <w:color w:val="auto"/>
          <w:sz w:val="30"/>
          <w:szCs w:val="30"/>
        </w:rPr>
      </w:pPr>
      <w:r>
        <w:rPr>
          <w:rFonts w:eastAsia="楷体_GB2312"/>
          <w:bCs/>
          <w:color w:val="auto"/>
          <w:sz w:val="30"/>
          <w:szCs w:val="30"/>
        </w:rPr>
        <w:t>（二）实践教学环节</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849"/>
        <w:gridCol w:w="3613"/>
        <w:gridCol w:w="710"/>
        <w:gridCol w:w="708"/>
        <w:gridCol w:w="924"/>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课程类型</w:t>
            </w:r>
          </w:p>
        </w:tc>
        <w:tc>
          <w:tcPr>
            <w:tcW w:w="849"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3613"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710"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708"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开设学期</w:t>
            </w:r>
          </w:p>
        </w:tc>
        <w:tc>
          <w:tcPr>
            <w:tcW w:w="924"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时间</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（周）</w:t>
            </w:r>
          </w:p>
        </w:tc>
        <w:tc>
          <w:tcPr>
            <w:tcW w:w="1219"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劳动教育</w:t>
            </w:r>
          </w:p>
        </w:tc>
        <w:tc>
          <w:tcPr>
            <w:tcW w:w="849" w:type="dxa"/>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3613"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劳动实践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Labor Practice</w:t>
            </w:r>
          </w:p>
        </w:tc>
        <w:tc>
          <w:tcPr>
            <w:tcW w:w="710" w:type="dxa"/>
            <w:vAlign w:val="center"/>
          </w:tcPr>
          <w:p>
            <w:pPr>
              <w:adjustRightInd w:val="0"/>
              <w:snapToGrid w:val="0"/>
              <w:spacing w:line="240" w:lineRule="exact"/>
              <w:jc w:val="center"/>
              <w:rPr>
                <w:rFonts w:eastAsia="仿宋_GB2312"/>
                <w:bCs/>
                <w:color w:val="auto"/>
                <w:sz w:val="18"/>
                <w:szCs w:val="18"/>
              </w:rPr>
            </w:pPr>
            <w:r>
              <w:rPr>
                <w:rStyle w:val="128"/>
                <w:rFonts w:eastAsia="仿宋_GB2312"/>
                <w:bCs/>
                <w:color w:val="auto"/>
                <w:sz w:val="18"/>
                <w:szCs w:val="18"/>
              </w:rPr>
              <w:t>2.0</w:t>
            </w:r>
          </w:p>
        </w:tc>
        <w:tc>
          <w:tcPr>
            <w:tcW w:w="708" w:type="dxa"/>
            <w:vAlign w:val="center"/>
          </w:tcPr>
          <w:p>
            <w:pPr>
              <w:adjustRightInd w:val="0"/>
              <w:snapToGrid w:val="0"/>
              <w:spacing w:line="240" w:lineRule="exact"/>
              <w:jc w:val="center"/>
              <w:rPr>
                <w:rFonts w:eastAsia="仿宋_GB2312"/>
                <w:bCs/>
                <w:color w:val="auto"/>
                <w:sz w:val="18"/>
                <w:szCs w:val="18"/>
              </w:rPr>
            </w:pPr>
            <w:r>
              <w:rPr>
                <w:rStyle w:val="128"/>
                <w:rFonts w:eastAsia="仿宋_GB2312"/>
                <w:bCs/>
                <w:color w:val="auto"/>
                <w:sz w:val="18"/>
                <w:szCs w:val="18"/>
              </w:rPr>
              <w:t>1-4</w:t>
            </w:r>
          </w:p>
        </w:tc>
        <w:tc>
          <w:tcPr>
            <w:tcW w:w="924" w:type="dxa"/>
            <w:vAlign w:val="center"/>
          </w:tcPr>
          <w:p>
            <w:pPr>
              <w:adjustRightInd w:val="0"/>
              <w:snapToGrid w:val="0"/>
              <w:spacing w:line="240" w:lineRule="exact"/>
              <w:jc w:val="center"/>
              <w:rPr>
                <w:rFonts w:eastAsia="仿宋_GB2312"/>
                <w:bCs/>
                <w:color w:val="auto"/>
                <w:sz w:val="18"/>
                <w:szCs w:val="18"/>
              </w:rPr>
            </w:pPr>
            <w:r>
              <w:rPr>
                <w:rStyle w:val="128"/>
                <w:rFonts w:eastAsia="仿宋_GB2312"/>
                <w:bCs/>
                <w:color w:val="auto"/>
                <w:sz w:val="18"/>
                <w:szCs w:val="18"/>
              </w:rPr>
              <w:t>（4）</w:t>
            </w:r>
          </w:p>
        </w:tc>
        <w:tc>
          <w:tcPr>
            <w:tcW w:w="1219"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入学教育、军训</w:t>
            </w:r>
          </w:p>
        </w:tc>
        <w:tc>
          <w:tcPr>
            <w:tcW w:w="849" w:type="dxa"/>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入学教育、军训（含军事技能）</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19"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毕业教育</w:t>
            </w:r>
          </w:p>
        </w:tc>
        <w:tc>
          <w:tcPr>
            <w:tcW w:w="849" w:type="dxa"/>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毕业教育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Graduate Education</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219"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体育</w:t>
            </w:r>
          </w:p>
        </w:tc>
        <w:tc>
          <w:tcPr>
            <w:tcW w:w="849" w:type="dxa"/>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3613"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大学生体质健康测试</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Health Test</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（8学时）</w:t>
            </w:r>
          </w:p>
        </w:tc>
        <w:tc>
          <w:tcPr>
            <w:tcW w:w="1219"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创新创业实践</w:t>
            </w:r>
          </w:p>
        </w:tc>
        <w:tc>
          <w:tcPr>
            <w:tcW w:w="849" w:type="dxa"/>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3613"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out of Classroom</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19"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
                <w:color w:val="auto"/>
                <w:sz w:val="18"/>
                <w:szCs w:val="18"/>
              </w:rPr>
            </w:pPr>
          </w:p>
        </w:tc>
        <w:tc>
          <w:tcPr>
            <w:tcW w:w="849" w:type="dxa"/>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613"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Introduction to Entrepreneurship</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3</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219"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教学实习</w:t>
            </w:r>
          </w:p>
          <w:p>
            <w:pPr>
              <w:adjustRightInd w:val="0"/>
              <w:snapToGrid w:val="0"/>
              <w:spacing w:line="240" w:lineRule="exact"/>
              <w:jc w:val="center"/>
              <w:rPr>
                <w:rFonts w:eastAsia="仿宋_GB2312"/>
                <w:bCs/>
                <w:color w:val="auto"/>
                <w:sz w:val="18"/>
                <w:szCs w:val="18"/>
              </w:rPr>
            </w:pPr>
          </w:p>
        </w:tc>
        <w:tc>
          <w:tcPr>
            <w:tcW w:w="849" w:type="dxa"/>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思想政治理论课综合实践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3-4</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19"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adjustRightInd w:val="0"/>
              <w:snapToGrid w:val="0"/>
              <w:spacing w:line="240" w:lineRule="exact"/>
              <w:jc w:val="center"/>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408002</w:t>
            </w:r>
            <w:r>
              <w:rPr>
                <w:rFonts w:hint="eastAsia" w:cs="Times New Roman"/>
                <w:i w:val="0"/>
                <w:color w:val="auto"/>
                <w:kern w:val="0"/>
                <w:sz w:val="18"/>
                <w:szCs w:val="18"/>
                <w:u w:val="none"/>
                <w:lang w:val="en-US" w:eastAsia="zh-CN" w:bidi="ar"/>
              </w:rPr>
              <w:t>8</w:t>
            </w:r>
          </w:p>
        </w:tc>
        <w:tc>
          <w:tcPr>
            <w:tcW w:w="3613"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Mental Health Education</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2</w:t>
            </w:r>
          </w:p>
        </w:tc>
        <w:tc>
          <w:tcPr>
            <w:tcW w:w="924" w:type="dxa"/>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1219" w:type="dxa"/>
            <w:vMerge w:val="restart"/>
            <w:vAlign w:val="center"/>
          </w:tcPr>
          <w:p>
            <w:pPr>
              <w:adjustRightInd w:val="0"/>
              <w:snapToGrid w:val="0"/>
              <w:spacing w:line="240" w:lineRule="exact"/>
              <w:jc w:val="center"/>
              <w:rPr>
                <w:rFonts w:hint="eastAsia"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adjustRightInd w:val="0"/>
              <w:snapToGrid w:val="0"/>
              <w:spacing w:line="240" w:lineRule="exact"/>
              <w:jc w:val="center"/>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408002</w:t>
            </w:r>
            <w:r>
              <w:rPr>
                <w:rFonts w:hint="eastAsia" w:cs="Times New Roman"/>
                <w:i w:val="0"/>
                <w:color w:val="auto"/>
                <w:kern w:val="0"/>
                <w:sz w:val="18"/>
                <w:szCs w:val="18"/>
                <w:u w:val="none"/>
                <w:lang w:val="en-US" w:eastAsia="zh-CN" w:bidi="ar"/>
              </w:rPr>
              <w:t>9</w:t>
            </w:r>
          </w:p>
        </w:tc>
        <w:tc>
          <w:tcPr>
            <w:tcW w:w="3613" w:type="dxa"/>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大学生就业指导</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Guidance for University Students</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219"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4080100</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动画专业（游戏设计方向）科研训练与课程论文</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Professional Scientific Research Training and Course Paper</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19"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4080075</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综合写生课程教学实习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sketch course teaching practice</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219"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4080132</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艺术综合考察课程教学实习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Teaching practice of art comprehensive investigation course</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19"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4080120</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三维造型课程教学实习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3D Modeling course exercitation</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19"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4080139</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游戏材质和节点技术课程教学实习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Teaching practice of game material course</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19"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4080140</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游戏角色动画课程教学实习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Game character animation course exercitation</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19"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4080141</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游戏引擎课程教学实习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Game engine course exercitation</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19"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4080088</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动画（游戏设计方向）专业综合实习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Professional Comprehensive internship</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5.0</w:t>
            </w:r>
          </w:p>
        </w:tc>
        <w:tc>
          <w:tcPr>
            <w:tcW w:w="708"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p>
        </w:tc>
        <w:tc>
          <w:tcPr>
            <w:tcW w:w="9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219"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毕业实习、毕业论文（设计）</w:t>
            </w:r>
          </w:p>
        </w:tc>
        <w:tc>
          <w:tcPr>
            <w:tcW w:w="84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4080099</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动画专业（游戏设计方向）毕业实习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Professional Graduation Practice</w:t>
            </w:r>
          </w:p>
        </w:tc>
        <w:tc>
          <w:tcPr>
            <w:tcW w:w="710"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4.0</w:t>
            </w:r>
          </w:p>
        </w:tc>
        <w:tc>
          <w:tcPr>
            <w:tcW w:w="708"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8（含第7学期寒假）</w:t>
            </w:r>
          </w:p>
        </w:tc>
        <w:tc>
          <w:tcPr>
            <w:tcW w:w="924"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8</w:t>
            </w:r>
          </w:p>
        </w:tc>
        <w:tc>
          <w:tcPr>
            <w:tcW w:w="1219"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4080097</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动画专业（游戏设计方向）毕业论文（设计）Ⅰ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Professional Graduation Thesis (Design) Ⅰ</w:t>
            </w:r>
          </w:p>
        </w:tc>
        <w:tc>
          <w:tcPr>
            <w:tcW w:w="710"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924"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p>
        </w:tc>
        <w:tc>
          <w:tcPr>
            <w:tcW w:w="1219"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7" w:type="dxa"/>
            <w:vMerge w:val="continue"/>
            <w:vAlign w:val="center"/>
          </w:tcPr>
          <w:p>
            <w:pPr>
              <w:adjustRightInd w:val="0"/>
              <w:snapToGrid w:val="0"/>
              <w:spacing w:line="240" w:lineRule="exact"/>
              <w:jc w:val="center"/>
              <w:rPr>
                <w:rFonts w:eastAsia="仿宋_GB2312"/>
                <w:bCs/>
                <w:color w:val="auto"/>
                <w:sz w:val="18"/>
                <w:szCs w:val="18"/>
              </w:rPr>
            </w:pPr>
          </w:p>
        </w:tc>
        <w:tc>
          <w:tcPr>
            <w:tcW w:w="84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4080098</w:t>
            </w:r>
          </w:p>
        </w:tc>
        <w:tc>
          <w:tcPr>
            <w:tcW w:w="3613"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动画专业（游戏设计方向）毕业论文（设计）Ⅱ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Professional Graduation Thesis (Design) Ⅱ</w:t>
            </w:r>
          </w:p>
        </w:tc>
        <w:tc>
          <w:tcPr>
            <w:tcW w:w="710"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3.0</w:t>
            </w:r>
          </w:p>
        </w:tc>
        <w:tc>
          <w:tcPr>
            <w:tcW w:w="70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924"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p>
        </w:tc>
        <w:tc>
          <w:tcPr>
            <w:tcW w:w="1219"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99" w:type="dxa"/>
            <w:gridSpan w:val="3"/>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合计</w:t>
            </w:r>
          </w:p>
        </w:tc>
        <w:tc>
          <w:tcPr>
            <w:tcW w:w="710" w:type="dxa"/>
            <w:vAlign w:val="center"/>
          </w:tcPr>
          <w:p>
            <w:pPr>
              <w:adjustRightInd w:val="0"/>
              <w:snapToGrid w:val="0"/>
              <w:spacing w:line="240" w:lineRule="exact"/>
              <w:jc w:val="center"/>
              <w:rPr>
                <w:rFonts w:eastAsia="仿宋_GB2312"/>
                <w:b/>
                <w:color w:val="auto"/>
                <w:sz w:val="18"/>
                <w:szCs w:val="18"/>
              </w:rPr>
            </w:pPr>
            <w:r>
              <w:rPr>
                <w:rStyle w:val="128"/>
                <w:rFonts w:eastAsia="仿宋_GB2312"/>
                <w:b/>
                <w:color w:val="auto"/>
                <w:sz w:val="18"/>
                <w:szCs w:val="18"/>
              </w:rPr>
              <w:t>39</w:t>
            </w:r>
          </w:p>
        </w:tc>
        <w:tc>
          <w:tcPr>
            <w:tcW w:w="708" w:type="dxa"/>
            <w:vAlign w:val="center"/>
          </w:tcPr>
          <w:p>
            <w:pPr>
              <w:adjustRightInd w:val="0"/>
              <w:snapToGrid w:val="0"/>
              <w:spacing w:line="240" w:lineRule="exact"/>
              <w:jc w:val="center"/>
              <w:rPr>
                <w:rFonts w:eastAsia="仿宋_GB2312"/>
                <w:b/>
                <w:color w:val="auto"/>
                <w:sz w:val="18"/>
                <w:szCs w:val="18"/>
              </w:rPr>
            </w:pPr>
          </w:p>
        </w:tc>
        <w:tc>
          <w:tcPr>
            <w:tcW w:w="924" w:type="dxa"/>
            <w:vAlign w:val="center"/>
          </w:tcPr>
          <w:p>
            <w:pPr>
              <w:adjustRightInd w:val="0"/>
              <w:snapToGrid w:val="0"/>
              <w:spacing w:line="240" w:lineRule="exact"/>
              <w:jc w:val="center"/>
              <w:rPr>
                <w:rFonts w:eastAsia="仿宋_GB2312"/>
                <w:b/>
                <w:color w:val="auto"/>
                <w:sz w:val="18"/>
                <w:szCs w:val="18"/>
              </w:rPr>
            </w:pPr>
            <w:r>
              <w:rPr>
                <w:rStyle w:val="128"/>
                <w:rFonts w:hint="eastAsia" w:eastAsia="仿宋_GB2312"/>
                <w:b/>
                <w:color w:val="auto"/>
                <w:sz w:val="18"/>
                <w:szCs w:val="18"/>
              </w:rPr>
              <w:t>4</w:t>
            </w:r>
            <w:r>
              <w:rPr>
                <w:rStyle w:val="128"/>
                <w:rFonts w:hint="eastAsia" w:eastAsia="仿宋_GB2312"/>
                <w:color w:val="auto"/>
                <w:sz w:val="18"/>
                <w:szCs w:val="18"/>
              </w:rPr>
              <w:t>0</w:t>
            </w:r>
            <w:r>
              <w:rPr>
                <w:rStyle w:val="128"/>
                <w:rFonts w:eastAsia="仿宋_GB2312"/>
                <w:b/>
                <w:color w:val="auto"/>
                <w:sz w:val="18"/>
                <w:szCs w:val="18"/>
              </w:rPr>
              <w:t>+（17.5周+8学时）</w:t>
            </w:r>
          </w:p>
        </w:tc>
        <w:tc>
          <w:tcPr>
            <w:tcW w:w="1219" w:type="dxa"/>
            <w:vAlign w:val="center"/>
          </w:tcPr>
          <w:p>
            <w:pPr>
              <w:adjustRightInd w:val="0"/>
              <w:snapToGrid w:val="0"/>
              <w:spacing w:line="240" w:lineRule="exact"/>
              <w:jc w:val="center"/>
              <w:rPr>
                <w:rFonts w:eastAsia="仿宋_GB2312"/>
                <w:b/>
                <w:color w:val="auto"/>
                <w:sz w:val="18"/>
                <w:szCs w:val="18"/>
              </w:rPr>
            </w:pPr>
          </w:p>
        </w:tc>
      </w:tr>
    </w:tbl>
    <w:p>
      <w:pPr>
        <w:adjustRightInd w:val="0"/>
        <w:spacing w:line="360" w:lineRule="auto"/>
        <w:ind w:firstLine="600" w:firstLineChars="200"/>
        <w:rPr>
          <w:rFonts w:eastAsia="黑体"/>
          <w:bCs/>
          <w:color w:val="auto"/>
          <w:sz w:val="30"/>
          <w:szCs w:val="30"/>
        </w:rPr>
        <w:sectPr>
          <w:footerReference r:id="rId5" w:type="default"/>
          <w:footerReference r:id="rId6" w:type="even"/>
          <w:pgSz w:w="11906" w:h="16838"/>
          <w:pgMar w:top="1531" w:right="1134" w:bottom="1020" w:left="1531" w:header="851" w:footer="1531" w:gutter="0"/>
          <w:cols w:space="720" w:num="1"/>
          <w:docGrid w:linePitch="312" w:charSpace="0"/>
        </w:sectPr>
      </w:pPr>
    </w:p>
    <w:p>
      <w:pPr>
        <w:adjustRightInd w:val="0"/>
        <w:spacing w:line="360" w:lineRule="auto"/>
        <w:ind w:firstLine="600" w:firstLineChars="200"/>
        <w:rPr>
          <w:rFonts w:eastAsia="黑体"/>
          <w:bCs/>
          <w:color w:val="auto"/>
          <w:sz w:val="30"/>
          <w:szCs w:val="30"/>
        </w:rPr>
      </w:pPr>
      <w:r>
        <w:rPr>
          <w:rFonts w:eastAsia="黑体"/>
          <w:bCs/>
          <w:color w:val="auto"/>
          <w:sz w:val="30"/>
          <w:szCs w:val="30"/>
        </w:rPr>
        <w:t>八、课程介绍及修读指导建议</w:t>
      </w:r>
    </w:p>
    <w:p>
      <w:pPr>
        <w:spacing w:line="360" w:lineRule="auto"/>
        <w:ind w:firstLine="560" w:firstLineChars="200"/>
        <w:jc w:val="center"/>
        <w:outlineLvl w:val="0"/>
        <w:rPr>
          <w:rFonts w:eastAsia="黑体"/>
          <w:color w:val="auto"/>
          <w:sz w:val="28"/>
          <w:szCs w:val="28"/>
        </w:rPr>
      </w:pPr>
      <w:r>
        <w:rPr>
          <w:rFonts w:eastAsia="黑体"/>
          <w:color w:val="auto"/>
          <w:sz w:val="28"/>
          <w:szCs w:val="28"/>
        </w:rPr>
        <w:t>动画专业（游戏设计方向）课程介绍及修读指导意见</w:t>
      </w:r>
    </w:p>
    <w:tbl>
      <w:tblPr>
        <w:tblStyle w:val="23"/>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675"/>
        <w:gridCol w:w="3300"/>
        <w:gridCol w:w="7457"/>
        <w:gridCol w:w="2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89" w:type="pct"/>
            <w:gridSpan w:val="2"/>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课程类别</w:t>
            </w:r>
          </w:p>
        </w:tc>
        <w:tc>
          <w:tcPr>
            <w:tcW w:w="1139" w:type="pc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课程名称</w:t>
            </w:r>
          </w:p>
        </w:tc>
        <w:tc>
          <w:tcPr>
            <w:tcW w:w="2574" w:type="pc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课程介绍</w:t>
            </w:r>
          </w:p>
        </w:tc>
        <w:tc>
          <w:tcPr>
            <w:tcW w:w="798" w:type="pc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restar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通识教育课程</w:t>
            </w:r>
          </w:p>
        </w:tc>
        <w:tc>
          <w:tcPr>
            <w:tcW w:w="233" w:type="pct"/>
            <w:vMerge w:val="restar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必修</w:t>
            </w:r>
          </w:p>
        </w:tc>
        <w:tc>
          <w:tcPr>
            <w:tcW w:w="113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1.马克思主义基本原理概论</w:t>
            </w:r>
          </w:p>
        </w:tc>
        <w:tc>
          <w:tcPr>
            <w:tcW w:w="257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门课程目的是使大学生掌握马克思主义的基本观点，树立正确的世界观、人生观、价值观，深化对社会发展规律、社会主义建设规律和共产党执政规律的认识，加深对中国化的马克思主义各大理论成果和党在社会主义初级阶段的基本路线、基本纲领、根本任务的理解，提高分析和解决实际问题的能力，为学好其他各门课程提供方法论的指导。</w:t>
            </w:r>
          </w:p>
        </w:tc>
        <w:tc>
          <w:tcPr>
            <w:tcW w:w="79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理论联系实践，加强政治学习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2.思想道德修养与法律基础</w:t>
            </w:r>
          </w:p>
        </w:tc>
        <w:tc>
          <w:tcPr>
            <w:tcW w:w="257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本课程以马克思主义为指导，以正确的人生观、价值观、道德观和法制观教育为主要内容，以社会主义核心价值体系及</w:t>
            </w:r>
            <w:r>
              <w:rPr>
                <w:color w:val="auto"/>
              </w:rPr>
              <w:fldChar w:fldCharType="begin"/>
            </w:r>
            <w:r>
              <w:rPr>
                <w:color w:val="auto"/>
              </w:rPr>
              <w:instrText xml:space="preserve"> HYPERLINK "https://www.baidu.com/s?wd=%E7%A4%BE%E4%BC%9A%E4%B8%BB%E4%B9%89%E8%8D%A3%E8%BE%B1%E8%A7%82&amp;tn=44039180_cpr&amp;fenlei=mv6quAkxTZn0IZRqIHckPjm4nH00T1YzPyn1rAmLP1P9myR4mH610ZwV5Hcvrjm3rH6sPfKWUMw85HfYnjn4nH6sgvPsT6KdThsqpZwYTjCEQLGCpyw9Uz4Bmy-bIi4WUvYETgN-TLwGUv3EPjn3PWfkPHfL" \t "_blank" </w:instrText>
            </w:r>
            <w:r>
              <w:rPr>
                <w:color w:val="auto"/>
              </w:rPr>
              <w:fldChar w:fldCharType="separate"/>
            </w:r>
            <w:r>
              <w:rPr>
                <w:rFonts w:eastAsia="仿宋_GB2312"/>
                <w:color w:val="auto"/>
                <w:sz w:val="18"/>
                <w:szCs w:val="18"/>
              </w:rPr>
              <w:t>社会主义荣辱观</w:t>
            </w:r>
            <w:r>
              <w:rPr>
                <w:rFonts w:eastAsia="仿宋_GB2312"/>
                <w:color w:val="auto"/>
                <w:sz w:val="18"/>
                <w:szCs w:val="18"/>
              </w:rPr>
              <w:fldChar w:fldCharType="end"/>
            </w:r>
            <w:r>
              <w:rPr>
                <w:rFonts w:eastAsia="仿宋_GB2312"/>
                <w:color w:val="auto"/>
                <w:sz w:val="18"/>
                <w:szCs w:val="18"/>
              </w:rPr>
              <w:t>贯穿教学的全过程，培养大学生的思想道德素质和法律基础知识，使其成为道高德重、懂法守法的社会主义建设事业的合格人才。</w:t>
            </w:r>
          </w:p>
        </w:tc>
        <w:tc>
          <w:tcPr>
            <w:tcW w:w="79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参加社会实践，</w:t>
            </w:r>
          </w:p>
          <w:p>
            <w:pPr>
              <w:adjustRightInd w:val="0"/>
              <w:snapToGrid w:val="0"/>
              <w:spacing w:line="240" w:lineRule="exact"/>
              <w:rPr>
                <w:rFonts w:eastAsia="仿宋_GB2312"/>
                <w:color w:val="auto"/>
                <w:sz w:val="18"/>
                <w:szCs w:val="18"/>
              </w:rPr>
            </w:pPr>
            <w:r>
              <w:rPr>
                <w:rFonts w:eastAsia="仿宋_GB2312"/>
                <w:color w:val="auto"/>
                <w:sz w:val="18"/>
                <w:szCs w:val="18"/>
              </w:rPr>
              <w:t>传递正能量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3.中国近现代史纲要</w:t>
            </w:r>
          </w:p>
        </w:tc>
        <w:tc>
          <w:tcPr>
            <w:tcW w:w="257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本门课程帮助学生了解国史、国情，树立在中国共产党领导下走中国特色社会主义道路的坚定信念。本课程主要讲授中国近代以来抵御外来侵略、争取民族独立、推翻反动统治、实现人民解放的历史。</w:t>
            </w:r>
          </w:p>
        </w:tc>
        <w:tc>
          <w:tcPr>
            <w:tcW w:w="79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p>
          <w:p>
            <w:pPr>
              <w:adjustRightInd w:val="0"/>
              <w:snapToGrid w:val="0"/>
              <w:spacing w:line="240" w:lineRule="exact"/>
              <w:rPr>
                <w:rFonts w:eastAsia="仿宋_GB2312"/>
                <w:color w:val="auto"/>
                <w:sz w:val="18"/>
                <w:szCs w:val="18"/>
              </w:rPr>
            </w:pPr>
            <w:r>
              <w:rPr>
                <w:rFonts w:eastAsia="仿宋_GB2312"/>
                <w:color w:val="auto"/>
                <w:sz w:val="18"/>
                <w:szCs w:val="18"/>
              </w:rPr>
              <w:t>《马克思主义基本原理》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 毛泽东思想和中国特色社会主义理论体系概论</w:t>
            </w:r>
          </w:p>
        </w:tc>
        <w:tc>
          <w:tcPr>
            <w:tcW w:w="257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本门课程培养学生理解毛泽东思想和中国特色社会主义理论体系是马克思主义的基本原理与中国实际相结合的两次伟大的理论成果，是</w:t>
            </w:r>
            <w:r>
              <w:rPr>
                <w:color w:val="auto"/>
              </w:rPr>
              <w:fldChar w:fldCharType="begin"/>
            </w:r>
            <w:r>
              <w:rPr>
                <w:color w:val="auto"/>
              </w:rPr>
              <w:instrText xml:space="preserve"> HYPERLINK "http://baike.baidu.com/view/1893.htm" \t "_blank" </w:instrText>
            </w:r>
            <w:r>
              <w:rPr>
                <w:color w:val="auto"/>
              </w:rPr>
              <w:fldChar w:fldCharType="separate"/>
            </w:r>
            <w:r>
              <w:rPr>
                <w:rFonts w:eastAsia="仿宋_GB2312"/>
                <w:color w:val="auto"/>
                <w:sz w:val="18"/>
                <w:szCs w:val="18"/>
              </w:rPr>
              <w:t>中国共产党</w:t>
            </w:r>
            <w:r>
              <w:rPr>
                <w:rFonts w:eastAsia="仿宋_GB2312"/>
                <w:color w:val="auto"/>
                <w:sz w:val="18"/>
                <w:szCs w:val="18"/>
              </w:rPr>
              <w:fldChar w:fldCharType="end"/>
            </w:r>
            <w:r>
              <w:rPr>
                <w:rFonts w:eastAsia="仿宋_GB2312"/>
                <w:color w:val="auto"/>
                <w:sz w:val="18"/>
                <w:szCs w:val="18"/>
              </w:rPr>
              <w:t>集体智慧的结晶。增强中国特色社会主义的道路自信、理论自信和制度自信。</w:t>
            </w:r>
          </w:p>
        </w:tc>
        <w:tc>
          <w:tcPr>
            <w:tcW w:w="79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先修课程：《中国近现代史纲要》</w:t>
            </w:r>
            <w:r>
              <w:rPr>
                <w:rFonts w:eastAsia="仿宋_GB2312"/>
                <w:color w:val="auto"/>
                <w:kern w:val="0"/>
                <w:sz w:val="18"/>
                <w:szCs w:val="18"/>
              </w:rPr>
              <w:t>、《马克思主义基本原理》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 形势与政策</w:t>
            </w:r>
          </w:p>
        </w:tc>
        <w:tc>
          <w:tcPr>
            <w:tcW w:w="257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以马克思列宁主义、毛泽东思想、邓小平理论和三个代表重要思想为指导，深入贯彻落实科学发展观，紧密结合全面建设小康社会的实际，针对学生关注的热点问题和思想特点，帮助学生认清国内外形势，全面准确地理解党的路线、方针和政策，不断培养提高大学生认识和把握形势的能力，坚定在中国共产党领导下走中国特色社会主义道路的信心和决心，为实现全面建设小康社会的奋斗目标而发奋学习。</w:t>
            </w:r>
          </w:p>
        </w:tc>
        <w:tc>
          <w:tcPr>
            <w:tcW w:w="79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多阅读人民日报、光明日报、参考消息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 大学英语Ⅰ-Ⅳ</w:t>
            </w:r>
          </w:p>
        </w:tc>
        <w:tc>
          <w:tcPr>
            <w:tcW w:w="257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教学目标是培养学生的英语综合应用能力，特别是听说能力，使他们在今后学习、工作和社会交往中能用英语有效地进行交际，同时增强其自主学习能力，提高综合文化素养，以适应我国社会发展和国际交流的需要。</w:t>
            </w:r>
          </w:p>
        </w:tc>
        <w:tc>
          <w:tcPr>
            <w:tcW w:w="79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注重听说读写，多阅读课外读物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 体育Ⅰ-Ⅳ</w:t>
            </w:r>
          </w:p>
        </w:tc>
        <w:tc>
          <w:tcPr>
            <w:tcW w:w="2574" w:type="pct"/>
            <w:vAlign w:val="center"/>
          </w:tcPr>
          <w:p>
            <w:pPr>
              <w:adjustRightInd w:val="0"/>
              <w:snapToGrid w:val="0"/>
              <w:spacing w:line="240" w:lineRule="exact"/>
              <w:rPr>
                <w:rFonts w:eastAsia="仿宋_GB2312"/>
                <w:color w:val="auto"/>
                <w:sz w:val="18"/>
                <w:szCs w:val="18"/>
              </w:rPr>
            </w:pPr>
            <w:r>
              <w:rPr>
                <w:rFonts w:eastAsia="仿宋_GB2312"/>
                <w:color w:val="auto"/>
                <w:sz w:val="20"/>
                <w:szCs w:val="20"/>
                <w:shd w:val="clear" w:color="auto" w:fill="FFFFFF"/>
              </w:rPr>
              <w:t>本门课程是</w:t>
            </w:r>
            <w:r>
              <w:rPr>
                <w:rFonts w:eastAsia="仿宋_GB2312"/>
                <w:color w:val="auto"/>
                <w:sz w:val="18"/>
                <w:szCs w:val="18"/>
              </w:rPr>
              <w:t>学生以身体练习为主要手段，通过合理的体育教育和科学的体育锻炼过程，达到增强体质、增进健康和提高体育素养为主要目标的公共必修课程掌握体育与健康知识及运动技能，增强体能；培养运动兴趣和爱好，形成坚持锻炼的习惯。</w:t>
            </w:r>
          </w:p>
        </w:tc>
        <w:tc>
          <w:tcPr>
            <w:tcW w:w="79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加强体育锻炼，理论联系实际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 大学生心理健康教育</w:t>
            </w:r>
          </w:p>
        </w:tc>
        <w:tc>
          <w:tcPr>
            <w:tcW w:w="2574" w:type="pct"/>
            <w:vAlign w:val="center"/>
          </w:tcPr>
          <w:p>
            <w:pPr>
              <w:adjustRightInd w:val="0"/>
              <w:snapToGrid w:val="0"/>
              <w:spacing w:line="240" w:lineRule="exact"/>
              <w:rPr>
                <w:rFonts w:eastAsia="仿宋_GB2312"/>
                <w:color w:val="auto"/>
                <w:sz w:val="18"/>
                <w:szCs w:val="18"/>
              </w:rPr>
            </w:pPr>
            <w:r>
              <w:rPr>
                <w:rFonts w:eastAsia="仿宋_GB2312"/>
                <w:color w:val="auto"/>
                <w:sz w:val="20"/>
                <w:szCs w:val="20"/>
                <w:shd w:val="clear" w:color="auto" w:fill="FFFFFF"/>
              </w:rPr>
              <w:t>通过本课程学习，了解大学阶段心理发展的特点，塑造健全的自我意识，掌握情绪、人际、爱情、学习等方面的心理特点与调整策略，使学生拥有健康的心理与人格。主要内容包括心理健康的含义及其重要性；健全自我意识的塑造；做情绪的舵手；大学生人际交往与调适；真爱需要等待等。</w:t>
            </w:r>
          </w:p>
        </w:tc>
        <w:tc>
          <w:tcPr>
            <w:tcW w:w="79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思想乐观、健康向上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 大学生职业生涯规划</w:t>
            </w:r>
          </w:p>
        </w:tc>
        <w:tc>
          <w:tcPr>
            <w:tcW w:w="2574" w:type="pct"/>
            <w:vAlign w:val="center"/>
          </w:tcPr>
          <w:p>
            <w:pPr>
              <w:adjustRightInd w:val="0"/>
              <w:snapToGrid w:val="0"/>
              <w:spacing w:line="240" w:lineRule="exact"/>
              <w:rPr>
                <w:rFonts w:eastAsia="仿宋_GB2312"/>
                <w:color w:val="auto"/>
                <w:sz w:val="18"/>
                <w:szCs w:val="18"/>
              </w:rPr>
            </w:pPr>
            <w:r>
              <w:rPr>
                <w:rFonts w:eastAsia="仿宋_GB2312"/>
                <w:color w:val="auto"/>
                <w:sz w:val="20"/>
                <w:szCs w:val="20"/>
                <w:shd w:val="clear" w:color="auto" w:fill="FFFFFF"/>
              </w:rPr>
              <w:t>本课程以邓小平理论、“三个代表”重要思想为指导，贯彻落实科学发展观，对学生进行职业生涯教育和职业理想教育。其任务是引导学生树立正确的职业观念和职业理想，学会根据社会需要和自身特点进行职业生涯规划，并以此规范和调整自己的行为，为顺利就业、创业创造条件。培养大学生树立正确的择业观，掌握求职的方法与技巧，增强择业意识，提高主动适应社会需要的能力。</w:t>
            </w:r>
          </w:p>
        </w:tc>
        <w:tc>
          <w:tcPr>
            <w:tcW w:w="79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多参加社会实践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 创业基础</w:t>
            </w:r>
          </w:p>
        </w:tc>
        <w:tc>
          <w:tcPr>
            <w:tcW w:w="257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 xml:space="preserve"> “创业基础”目的在于使学生掌握开展创业活动所需要的基本知识；使学生具备必要的创业能力；使学生树立科学的创业观。</w:t>
            </w:r>
          </w:p>
        </w:tc>
        <w:tc>
          <w:tcPr>
            <w:tcW w:w="79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多参加社会调查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 军事理论</w:t>
            </w:r>
          </w:p>
        </w:tc>
        <w:tc>
          <w:tcPr>
            <w:tcW w:w="257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主要讲述中国的国防建设、军事思想</w:t>
            </w:r>
            <w:r>
              <w:rPr>
                <w:rFonts w:hint="eastAsia" w:eastAsia="仿宋_GB2312"/>
                <w:color w:val="auto"/>
                <w:sz w:val="18"/>
                <w:szCs w:val="18"/>
              </w:rPr>
              <w:t>概述</w:t>
            </w:r>
            <w:r>
              <w:rPr>
                <w:rFonts w:eastAsia="仿宋_GB2312"/>
                <w:color w:val="auto"/>
                <w:sz w:val="18"/>
                <w:szCs w:val="18"/>
              </w:rPr>
              <w:t>、中国国家安全环境、军事高技术等内容，达到增强国防观念和国家安全意识，强化爱国主义、集体主义观念，加强组织纪律性，促进大学生综合素质的提高，为中国人民解放军训练后备兵员利预备役军官打下坚实的基础。</w:t>
            </w:r>
          </w:p>
        </w:tc>
        <w:tc>
          <w:tcPr>
            <w:tcW w:w="79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要整体把握、学会创造性思维、做到融会贯通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选修</w:t>
            </w:r>
          </w:p>
        </w:tc>
        <w:tc>
          <w:tcPr>
            <w:tcW w:w="4511" w:type="pct"/>
            <w:gridSpan w:val="3"/>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restar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学科（专业）基础课程</w:t>
            </w:r>
          </w:p>
        </w:tc>
        <w:tc>
          <w:tcPr>
            <w:tcW w:w="233"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Cs w:val="21"/>
              </w:rPr>
              <w:t>必修</w:t>
            </w: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1.造型基础</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本课程主要讲述素描速写基本要领与目的，审美标准，理解人体解剖学基本原理、透视关系等。使学生掌握在短时间内准确抓取并表现人物动态，对场景氛围的准确观察和表现能力。</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后续课程：《雕塑》</w:t>
            </w:r>
          </w:p>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《动画概念设计》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2.影视色彩</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本课程主要采用理论学习和实践训练相结合的方式，讲述从色彩的产生、特征到色彩的应用等内容，培养学生艺术理解力和艺术创作能力。</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后续课程：《动画概念设计》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3.动画速写</w:t>
            </w:r>
          </w:p>
        </w:tc>
        <w:tc>
          <w:tcPr>
            <w:tcW w:w="2574" w:type="pct"/>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本课程主要采用理论学习和实践训练相结合的方式，讲述人物角色和动画的动态速写的绘制等内容，培养学生对动态造型的把握能力能力。</w:t>
            </w:r>
          </w:p>
        </w:tc>
        <w:tc>
          <w:tcPr>
            <w:tcW w:w="798" w:type="pct"/>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后续课程：《动画概念设计》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4.雕塑</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本课程主要讲述角色造型设计的基本创作思路和雕塑的创作手法。理解二维角色造型转化为雕塑造型的空间造型方式。培养动画专业的学生由虚拟想象转换为现实实物的综合素养。</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先修课程：《造型基础》《动画概念设计》后续课程：《三维造型》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5.动画概论</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本课程主要讲述世界各国动画发展状况与动画产业经营模式。使学生掌握动画创作流程以及相关专业术语，动画发展的几个阶段与大师代表作。培养学生解读动画影片的专业方法，提高鉴赏审美能力。</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先修课程：《动画经典作品解析》《动画概念设计》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6.动画经典作品解析</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本课程主要讲述镜头的基本概念与规律、剧本的基本结构、人物形象设计的特点等基本常识，理解动画电影作为电影艺术门类之一的特殊价值，培养学生掌握分析动画电影的正确方法的基本素质。</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后续课程：《动画导演与剧本创作》《动画分镜头设计》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7. 动画导演与剧本创作</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动画电影的生产方式、制作技术和艺术创作及剧本的创造过程。理解动画片导演担负的责任和动画编剧的职责。使学生掌握动画片导演创作的基本知识、具备业务本领、导演的影片创作和动画剧本创作能力。</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先修课程：《动画经典作品解析》后续课程：《动画表演与剪辑》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8.动画概念设计</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本课程主要讲述动画造型与场景设定的基础理论知识，动画造型与场景设定使用的各类图形处理软件的操作知识，动画片创作的基本流程知识。使学生掌握动画速写、默写能力，概括抽象能力、。</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先修课程：《造型基础》《影视色彩》后续课程：《三维造型》《光影表现》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9.动画分镜头设计</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本课程主要讲述动画影片在镜头设计和使用方面的技巧。使学生掌握动画片导演创作的基本知识、具备业务本领、导演的影片创作和动画剧本创作能力。</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先修课程：《动画导演与剧本创作》《动画概念设计》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10.动画运动规律</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本课程主要讲述动画运动规律的时间掌握，动作间距，情感传达，重量体现等等。使学生掌握几种不同风格的动画动作运动规律，原画设计与绘制能力。</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先修课程：《造型基础》后续课程：《角色动画》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restar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专业课程</w:t>
            </w:r>
          </w:p>
        </w:tc>
        <w:tc>
          <w:tcPr>
            <w:tcW w:w="233" w:type="pct"/>
            <w:vMerge w:val="restar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必修</w:t>
            </w: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1.三维造型</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本课程主要以三维建模为主，提升学生的实践创作技能，讲述动画中模型部分的创建。通过案例的制作与创作，提升学生的实践创作技能，培养学生动画建模方面的艺术修养，提升学生的建模能力与创作技巧。</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先修课程：《造型基础》《游戏概念设计》《雕塑》后续课程：《游戏材质和节点技术》《游戏角色动画》《三维特效》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2.游戏材质和节点技术</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通过结合成熟影像资料讲述造型光影的知识，培养和锻炼对物体在光影的把握和立体空间氛围的感受力和表现力。教学目标是培养学生使用不同渲染方式表现画面的基本能力，掌握不同的渲染方式和技巧，了解灯光、材质、贴图、投影等渲染画面的重要因素；学习渲染图片和视频的类型格式，渲染器参数设置和画面效果；</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先修课程《三维造型》后续课程《游戏角色动画》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3.游戏角色动画</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本课程主要讲述动画的时间节奏；理解道具与角色的绑定与蒙皮；掌握角色动画的控制与调节。培养学生道具与角色的绑定与蒙皮的能力，为今后动画短片创作打下基础。</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先修课程：《动画运动规律》《三维造型》后续课程：《影视特效》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4.游戏关卡设计</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通过游戏设计的设计和运行环境，运用所学艺术手段和计算机软件知识和技巧，制作出虚拟的、沉浸式的互动环境和模拟角色，并进行身临其境的关卡设计体验，通过该课程的学习，结合前置衔接课程，制作出简单的动动画、游戏和叙事关卡设计方案及与动漫游戏行业的故事架构和设计表现能力。</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先修课程：《动画游戏概论》《游戏材质和节点技术》《游戏角色动画》后续课程：《游戏设计综合实习》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5.影视特效</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三维影视动画中粒子特效、动力学特效、毛发布料结算、摄像机匹配等技术知识及应用。培养学生特效动画的制作流程和实现技术能力。通过影视动画特效的学习能够深度了解影视制作前沿技术。了解游戏特效在游戏设计中的作用与游戏特效的实现，掌握粒子系统、特效插件、动态贴图等游戏特效的基础知识与制作技能。</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先修课程：《游戏角色动画》后续课程：影视合成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6.游戏引擎设计</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游戏引擎技术使学生着重掌握游戏引擎的基本概念、基本理论及发展趋势，理解游戏引擎技术在多个领域分析问题、解决问题的方法，同时掌握三维建模的注意事项及与游戏动画制作软件整合的能力。</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先修课程：《游戏材质和节点技术》《游戏角色动画》后续课程：《游戏设计专业综合实习》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restar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专业拓展课程</w:t>
            </w:r>
          </w:p>
        </w:tc>
        <w:tc>
          <w:tcPr>
            <w:tcW w:w="233" w:type="pct"/>
            <w:vMerge w:val="restart"/>
            <w:vAlign w:val="center"/>
          </w:tcPr>
          <w:p>
            <w:pPr>
              <w:adjustRightInd w:val="0"/>
              <w:snapToGrid w:val="0"/>
              <w:spacing w:line="240" w:lineRule="exact"/>
              <w:jc w:val="center"/>
              <w:rPr>
                <w:rFonts w:eastAsia="仿宋_GB2312"/>
                <w:color w:val="auto"/>
                <w:szCs w:val="21"/>
              </w:rPr>
            </w:pPr>
            <w:r>
              <w:rPr>
                <w:rFonts w:eastAsia="仿宋_GB2312"/>
                <w:color w:val="auto"/>
                <w:szCs w:val="21"/>
              </w:rPr>
              <w:t>选修</w:t>
            </w:r>
          </w:p>
        </w:tc>
        <w:tc>
          <w:tcPr>
            <w:tcW w:w="1139"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1．外国文学</w:t>
            </w:r>
          </w:p>
        </w:tc>
        <w:tc>
          <w:tcPr>
            <w:tcW w:w="2574"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该课程主要以西方亚欧各国的文学史演进为脉络，具体讲述自古至今西方各国具有典型意义的各个历史时期的代表性文学作品，以丰富学生的文学理论知识、扩宽知识面，并进而提高其文学鉴赏能力以及在影视作品创作中的文本创作能力。</w:t>
            </w:r>
          </w:p>
        </w:tc>
        <w:tc>
          <w:tcPr>
            <w:tcW w:w="798"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后续课程：《戏剧学导论》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2.影视美学</w:t>
            </w:r>
          </w:p>
        </w:tc>
        <w:tc>
          <w:tcPr>
            <w:tcW w:w="2574"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该课程主要讲述电视新闻节目、电视娱乐节目、电视纪录片等中外电视节目的观看与分析比较。开设目的是开拓学生的视野，丰富学生的电视理论知识，提升学生的电视作品鉴赏水平。</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先修课程：《摄像与剪辑》、《外国文学》</w:t>
            </w:r>
          </w:p>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后续课程：《虚拟现实》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3.戏剧学导论</w:t>
            </w:r>
          </w:p>
        </w:tc>
        <w:tc>
          <w:tcPr>
            <w:tcW w:w="2574"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该课程主要讲述中外戏剧史及其中的经典作品；理解戏剧学的基础知识，包括戏剧形态、戏剧本质、戏剧意象、戏剧流派、戏剧功能；掌握戏剧表演、戏剧文学、戏剧导演、戏剧空间等知识。培养学生对表演艺术和导演艺术的评赏能力。</w:t>
            </w:r>
          </w:p>
        </w:tc>
        <w:tc>
          <w:tcPr>
            <w:tcW w:w="798"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先修课程：《影视美学》后续课程：《广播电视新闻学》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4.虚拟现实概论</w:t>
            </w:r>
          </w:p>
        </w:tc>
        <w:tc>
          <w:tcPr>
            <w:tcW w:w="2574"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帮助学生了解虚拟现实技术的发展历程，通过了解其特征，让学生理解这一技术的表达方法，并在其技术要点中建立起知识结构，并找到学习的侧重点。</w:t>
            </w:r>
          </w:p>
        </w:tc>
        <w:tc>
          <w:tcPr>
            <w:tcW w:w="798"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先修课程：《戏剧学导论》后续课程：《多媒体交互设计研究方法》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5.广播电视新闻学</w:t>
            </w:r>
          </w:p>
        </w:tc>
        <w:tc>
          <w:tcPr>
            <w:tcW w:w="2574"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该课程主要讲述广播电视的技术特性、中国的广播电视政策与发展现状、广播电视新闻的制作规律和发展方向等知识。培养学生掌握制作广播电视新闻的方法。</w:t>
            </w:r>
          </w:p>
        </w:tc>
        <w:tc>
          <w:tcPr>
            <w:tcW w:w="798"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先修课程：《影视美学》后续课程：《多媒体交互设计研究方法》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6.多媒体交互设计研究方法</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多媒体交互设计最根本的特征是交互性，要满足用户的参与意识，体现用户的主体性，给予人们参与、互动、创造的体验。</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先修课程：《程序语言》后续课程：《动画广告》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7.动画配音</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掌握普通话语音知识；播音发声技巧的要求。播音稿件、影视角色配音、节目主持可以为大学生制作的电视节目中所使用。</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先修课程：《动画运动规律》后续课程：《商业摄影》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8.制片管理</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课程是学习“如何运用管理学的基本理论对电视制片过程进行有效管理，以取得良好的经济和社会效益”。</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先修课程：《动画概念设计》后续课程：《商业摄影》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9.影视照明基础</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了解光的基础理论。理解影视照明的主要特点。掌握理论必须解答实践中的问题，能够自己动手布局光的方位、角度，自行创作，并且运用到影视创作中，为今后其它影视类课程的学习打下坚实基础。</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先修课程：《商业摄影》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10.影视音效与音乐</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了解影视音乐音响基本理论知识，基本概念和主要理论体系。理解音乐音响常用表现手段和音乐在影视作品中的作用，增强对音乐的感受力，提高学生的审美力和艺术修养。</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后续课程：《中外电视节目比较》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11.影视艺术赏析</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使学生了解电影电视的发展历史，理解影视艺术的基本理论，掌握影视鉴赏的一般方法，掌握影视评论的基本写作要求和写作技巧，并通过对中外优秀影视作品的欣赏培养审美情趣，提高独立审美的能力，最终提高学生的人文素质。</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先修课程：《影视照明基础》后续课程：《中外电视节目比较》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12.中外电视节目比较</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本门课的开设目的是开拓学生的视野，丰富学生的电视理论知识，提升学生的电视作品鉴赏水平。课程内容包括电视新闻节目、电视娱乐节目、电视纪录片等中外电视节目的观看与分析比较。</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先修课程：《影视艺术赏析》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13.动画广告</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本课程主要讲述广告的基础知识。理解广告的市场运作。使学生掌握广告设计的创意与表现策略能力。</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先修课程：《影视音效与音乐》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14. 动漫与游戏产品运营与推广</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本课程主要讲述动漫游戏产品在市场上的运作与推广宣传、维护等等。使学生掌握动漫游戏产品策略能力。</w:t>
            </w:r>
          </w:p>
        </w:tc>
        <w:tc>
          <w:tcPr>
            <w:tcW w:w="798" w:type="pct"/>
            <w:vAlign w:val="center"/>
          </w:tcPr>
          <w:p>
            <w:pPr>
              <w:adjustRightInd w:val="0"/>
              <w:snapToGrid w:val="0"/>
              <w:spacing w:line="240" w:lineRule="exact"/>
              <w:jc w:val="left"/>
              <w:rPr>
                <w:rFonts w:eastAsia="仿宋_GB2312"/>
                <w:bCs/>
                <w:color w:val="auto"/>
                <w:sz w:val="18"/>
                <w:szCs w:val="18"/>
              </w:rPr>
            </w:pPr>
            <w:r>
              <w:rPr>
                <w:rFonts w:eastAsia="仿宋_GB2312"/>
                <w:color w:val="auto"/>
                <w:sz w:val="18"/>
                <w:szCs w:val="18"/>
              </w:rPr>
              <w:t>先修课程：《</w:t>
            </w:r>
            <w:r>
              <w:rPr>
                <w:rFonts w:eastAsia="仿宋_GB2312"/>
                <w:bCs/>
                <w:color w:val="auto"/>
                <w:sz w:val="18"/>
                <w:szCs w:val="18"/>
              </w:rPr>
              <w:t>游戏概念设计》</w:t>
            </w:r>
          </w:p>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15. 游戏产业前沿</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通过学习本课程，学生能够掌握游戏产业前沿信息、最新动态等基本知识和理论；掌握从游戏产业前沿的角度去对待创作、分析创意、激发创意、展开创作的方法。</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先修课程：《数字游戏概论》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16. 游戏架构设计与策划</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了解游戏策划的工作内容和特点、了解游戏策划对于游戏的意义，明确游戏设计师的工作任务，明确游戏策划师的职责与必备的能力。</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先修课程：《数字游戏概论》后续课程：游戏关卡设计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17. 影视创意产业</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通过学习本课程，学生能够掌握影视文化创意产业发展的历史脉络、构成要素、最新动态等基本知识和理论；掌握从影视文化创意产业这一宏观的角度去对待创作、分析创意、激发创意、展开创作的方法。</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先修课程：《影视特效》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vAlign w:val="center"/>
          </w:tcPr>
          <w:p>
            <w:pPr>
              <w:adjustRightInd w:val="0"/>
              <w:snapToGrid w:val="0"/>
              <w:spacing w:line="240" w:lineRule="exact"/>
              <w:jc w:val="center"/>
              <w:rPr>
                <w:rFonts w:eastAsia="仿宋_GB2312"/>
                <w:color w:val="auto"/>
                <w:szCs w:val="21"/>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18. 演讲沟通与策略</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从演讲稿的写作、演讲技巧两个方面进行讲解、分析和训练，通过课程提高学生的交际、沟通能力，并进而提高口语表达能力和水平，以适应社会对于人才的需要。</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先修课程：《动画导演与剧本创作》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restart"/>
            <w:vAlign w:val="center"/>
          </w:tcPr>
          <w:p>
            <w:pPr>
              <w:adjustRightInd w:val="0"/>
              <w:snapToGrid w:val="0"/>
              <w:spacing w:line="240" w:lineRule="exact"/>
              <w:jc w:val="center"/>
              <w:rPr>
                <w:rFonts w:eastAsia="仿宋_GB2312"/>
                <w:color w:val="auto"/>
                <w:szCs w:val="21"/>
              </w:rPr>
            </w:pPr>
            <w:r>
              <w:rPr>
                <w:rFonts w:eastAsia="仿宋_GB2312"/>
                <w:b/>
                <w:bCs/>
                <w:color w:val="auto"/>
                <w:szCs w:val="21"/>
              </w:rPr>
              <w:t>实习实践课程</w:t>
            </w:r>
          </w:p>
        </w:tc>
        <w:tc>
          <w:tcPr>
            <w:tcW w:w="233" w:type="pct"/>
            <w:vMerge w:val="restar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必修</w:t>
            </w:r>
          </w:p>
        </w:tc>
        <w:tc>
          <w:tcPr>
            <w:tcW w:w="1139"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劳动实践</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培养大学生吃苦耐劳、团结协作的素质，树立劳动最光荣的高尚情操。</w:t>
            </w:r>
          </w:p>
        </w:tc>
        <w:tc>
          <w:tcPr>
            <w:tcW w:w="798"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adjustRightInd w:val="0"/>
              <w:snapToGrid w:val="0"/>
              <w:spacing w:line="240" w:lineRule="exact"/>
              <w:ind w:right="-105" w:rightChars="-50"/>
              <w:rPr>
                <w:rFonts w:eastAsia="仿宋_GB2312"/>
                <w:color w:val="auto"/>
                <w:sz w:val="18"/>
                <w:szCs w:val="18"/>
              </w:rPr>
            </w:pPr>
            <w:r>
              <w:rPr>
                <w:rFonts w:eastAsia="仿宋_GB2312"/>
                <w:bCs/>
                <w:color w:val="auto"/>
                <w:sz w:val="18"/>
                <w:szCs w:val="18"/>
              </w:rPr>
              <w:t>入学教育、军训（含军事技能</w:t>
            </w:r>
            <w:r>
              <w:rPr>
                <w:rFonts w:hint="eastAsia" w:eastAsia="仿宋_GB2312"/>
                <w:bCs/>
                <w:color w:val="auto"/>
                <w:sz w:val="18"/>
                <w:szCs w:val="18"/>
              </w:rPr>
              <w:t>）</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使校大学生接受国防教育，履行兵役义务的一种形式，使学生树立爱国主义精神，增强国防观念，掌握基本的军事知识和技能，为培养预备役军官打基础。</w:t>
            </w:r>
          </w:p>
        </w:tc>
        <w:tc>
          <w:tcPr>
            <w:tcW w:w="798"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毕业教育</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教育毕业生进一步树立正确的人生观、价值观、择业观，培养良好的职业道德，对毕业生进行比较全面的择业指导。</w:t>
            </w:r>
          </w:p>
        </w:tc>
        <w:tc>
          <w:tcPr>
            <w:tcW w:w="798"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大学生体质健康测试</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调动学生参与体育锻炼的积极性,提高体质健康水平</w:t>
            </w:r>
          </w:p>
        </w:tc>
        <w:tc>
          <w:tcPr>
            <w:tcW w:w="798"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第二课堂实践</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使在校大学生具有加深对本专业的了解、确认适合的职业、为向职场过渡做准备、增强就业竞争优势等。</w:t>
            </w:r>
          </w:p>
        </w:tc>
        <w:tc>
          <w:tcPr>
            <w:tcW w:w="798"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《创业基础》实践</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帮助学生对创业树立全面认识和体验，切实提高创业意识和创业能力，培养有创业和创新精神的青年人才。</w:t>
            </w:r>
          </w:p>
        </w:tc>
        <w:tc>
          <w:tcPr>
            <w:tcW w:w="798"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思想政治理论课综合实践</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通过思想政治理论课社会实践，使学生加深对中国特色社会主义理论体系的理解和对党的路线方针政策的认识；更深切地感受民生，了解社会，认识国情，增强热爱祖国，热爱社会主义的信念和振兴中华的责任感和使命感，进一步拓展能力，增长才干，更好地为社会做贡献。</w:t>
            </w:r>
          </w:p>
        </w:tc>
        <w:tc>
          <w:tcPr>
            <w:tcW w:w="798"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《大学生心理健康教育》实践</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798"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大学生就业指导</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使大学毕业生能够及时的完善知识储备,调整就业心态,获得就业信息,加快并改善大学生就业。</w:t>
            </w:r>
          </w:p>
        </w:tc>
        <w:tc>
          <w:tcPr>
            <w:tcW w:w="798"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b/>
                <w:bCs/>
                <w:color w:val="auto"/>
                <w:szCs w:val="21"/>
              </w:rPr>
            </w:pPr>
          </w:p>
        </w:tc>
        <w:tc>
          <w:tcPr>
            <w:tcW w:w="233" w:type="pct"/>
            <w:vMerge w:val="continue"/>
            <w:vAlign w:val="center"/>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动画专业（游戏设计方向）科研训练与课程论文（设计）</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了解科研训练目的与意义，熟知科研项目的类型，熟悉论文写作基础知识与常用技巧。理解论文写作要求。掌握科研项目运作方法及课程论文写作技巧。</w:t>
            </w:r>
          </w:p>
        </w:tc>
        <w:tc>
          <w:tcPr>
            <w:tcW w:w="798"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外出写生实习</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了解写生的基本步骤与方法。理解空间与构成原理。掌握用笔的方法、物体的结构、淡彩的运用、画面组织关系与形式法则等。</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先修课程：《造型基础》《色彩》后续课程：《动画概念设计》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艺术综合考察</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了解动画设计在学术领域中及相关艺术领域的发展。理解现代流行信息及古代传统文化元素在动画作品的应用与发展。掌握如何获取与艺术相关的信息，并转化成自己的设计灵感的启迪点。</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后续课程：《毕业实习》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vAlign w:val="center"/>
          </w:tcPr>
          <w:p>
            <w:pPr>
              <w:adjustRightInd w:val="0"/>
              <w:snapToGrid w:val="0"/>
              <w:spacing w:line="240" w:lineRule="exact"/>
              <w:jc w:val="center"/>
              <w:rPr>
                <w:rFonts w:eastAsia="仿宋_GB2312"/>
                <w:color w:val="auto"/>
                <w:szCs w:val="21"/>
              </w:rPr>
            </w:pPr>
          </w:p>
        </w:tc>
        <w:tc>
          <w:tcPr>
            <w:tcW w:w="233" w:type="pct"/>
            <w:vMerge w:val="continue"/>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三维造型实习</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本课程主要练习模型工作模式，理解三维动画模型制作与实践技巧，使学生能够从实践体验中提升制作经验，实现三维造型在不同领域中的拓展应用。</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先修课程：《三维造型》后续课程：《游戏材质和节点技术》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tcPr>
          <w:p>
            <w:pPr>
              <w:adjustRightInd w:val="0"/>
              <w:snapToGrid w:val="0"/>
              <w:spacing w:line="240" w:lineRule="exact"/>
              <w:jc w:val="center"/>
              <w:rPr>
                <w:rFonts w:eastAsia="仿宋_GB2312"/>
                <w:color w:val="auto"/>
                <w:szCs w:val="21"/>
              </w:rPr>
            </w:pPr>
          </w:p>
        </w:tc>
        <w:tc>
          <w:tcPr>
            <w:tcW w:w="233" w:type="pct"/>
            <w:vMerge w:val="continue"/>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游戏材质和节点技术实习</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本课程主要练习光影的基本原理和空间事物的表现，使学生理解三维空间造型的光影色彩的塑造方式，掌握光影艺术学在动画创作和制作中的概念、意义及应用能力与技巧。</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先修课程：《游戏材质和节点技术》后续课程：《游戏角色动画》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tcPr>
          <w:p>
            <w:pPr>
              <w:adjustRightInd w:val="0"/>
              <w:snapToGrid w:val="0"/>
              <w:spacing w:line="240" w:lineRule="exact"/>
              <w:jc w:val="center"/>
              <w:rPr>
                <w:rFonts w:eastAsia="仿宋_GB2312"/>
                <w:color w:val="auto"/>
                <w:szCs w:val="21"/>
              </w:rPr>
            </w:pPr>
          </w:p>
        </w:tc>
        <w:tc>
          <w:tcPr>
            <w:tcW w:w="233" w:type="pct"/>
            <w:vMerge w:val="continue"/>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游戏引擎设计实习</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本课程主要练习游戏引擎整合美术资源的技巧。理解游戏关卡设计操作规范，掌握游戏关卡的设计流程，使学生理解掌握游戏关卡设计的制作与实践技巧。</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先修课程：《游戏关卡设计》后续课程：《游戏设计综合设计》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tcPr>
          <w:p>
            <w:pPr>
              <w:adjustRightInd w:val="0"/>
              <w:snapToGrid w:val="0"/>
              <w:spacing w:line="240" w:lineRule="exact"/>
              <w:jc w:val="center"/>
              <w:rPr>
                <w:rFonts w:eastAsia="仿宋_GB2312"/>
                <w:color w:val="auto"/>
                <w:szCs w:val="21"/>
              </w:rPr>
            </w:pPr>
          </w:p>
        </w:tc>
        <w:tc>
          <w:tcPr>
            <w:tcW w:w="233" w:type="pct"/>
            <w:vMerge w:val="continue"/>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游戏角色动画实习</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本课程主要练习动画的时间节奏。理解道具与角色的绑定与蒙皮，掌握角色动画的控制与调节，使学生理解掌握角色动画的制作与实践技巧。</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先修课程：《动画运动规律》《游戏角色动画》后续课程：《游戏引擎设计》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tcPr>
          <w:p>
            <w:pPr>
              <w:adjustRightInd w:val="0"/>
              <w:snapToGrid w:val="0"/>
              <w:spacing w:line="240" w:lineRule="exact"/>
              <w:jc w:val="center"/>
              <w:rPr>
                <w:rFonts w:eastAsia="仿宋_GB2312"/>
                <w:color w:val="auto"/>
                <w:szCs w:val="21"/>
              </w:rPr>
            </w:pPr>
          </w:p>
        </w:tc>
        <w:tc>
          <w:tcPr>
            <w:tcW w:w="233" w:type="pct"/>
            <w:vMerge w:val="continue"/>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动画专业（游戏设计方向）综合实习</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了解动画的应用领域，创新创业的拓展方向，团结合作的工作模式，理解三维动画创新创业的基本理念与实践技巧。学生能够从实践体验中提升制作经验，实现动画在各领域中的拓展应用。</w:t>
            </w:r>
          </w:p>
        </w:tc>
        <w:tc>
          <w:tcPr>
            <w:tcW w:w="798"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先修课程：游戏角色动画实习》《游戏关卡设计》后续课程：《游戏设计专业毕业实习》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tcPr>
          <w:p>
            <w:pPr>
              <w:adjustRightInd w:val="0"/>
              <w:snapToGrid w:val="0"/>
              <w:spacing w:line="240" w:lineRule="exact"/>
              <w:jc w:val="center"/>
              <w:rPr>
                <w:rFonts w:eastAsia="仿宋_GB2312"/>
                <w:color w:val="auto"/>
                <w:szCs w:val="21"/>
              </w:rPr>
            </w:pPr>
          </w:p>
        </w:tc>
        <w:tc>
          <w:tcPr>
            <w:tcW w:w="233" w:type="pct"/>
            <w:vMerge w:val="continue"/>
          </w:tcPr>
          <w:p>
            <w:pPr>
              <w:widowControl/>
              <w:adjustRightInd w:val="0"/>
              <w:snapToGrid w:val="0"/>
              <w:spacing w:line="240" w:lineRule="exact"/>
              <w:ind w:left="-2" w:leftChars="-1"/>
              <w:rPr>
                <w:rFonts w:eastAsia="仿宋_GB2312"/>
                <w:color w:val="auto"/>
                <w:sz w:val="18"/>
                <w:szCs w:val="18"/>
              </w:rPr>
            </w:pPr>
          </w:p>
        </w:tc>
        <w:tc>
          <w:tcPr>
            <w:tcW w:w="11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动画专业（游戏设计方向）毕业实习</w:t>
            </w:r>
            <w:r>
              <w:rPr>
                <w:rFonts w:hint="eastAsia" w:eastAsia="仿宋_GB2312"/>
                <w:color w:val="auto"/>
                <w:sz w:val="18"/>
                <w:szCs w:val="18"/>
              </w:rPr>
              <w:t>（含劳动实践）</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通过专业实习，学生可将专业知识的学习和社会实际需要有机会的结合起来，巩固和加深对理论知识的理解，提高分析问题、解决问题的能力和培养创新能力，有助于学生了解社会、接触工作实际、培养团队意识和创业意识。</w:t>
            </w:r>
          </w:p>
        </w:tc>
        <w:tc>
          <w:tcPr>
            <w:tcW w:w="798" w:type="pct"/>
          </w:tcPr>
          <w:p>
            <w:pPr>
              <w:adjustRightInd w:val="0"/>
              <w:snapToGrid w:val="0"/>
              <w:spacing w:line="240" w:lineRule="exact"/>
              <w:rPr>
                <w:rFonts w:eastAsia="仿宋_GB2312"/>
                <w:color w:val="auto"/>
                <w:sz w:val="18"/>
                <w:szCs w:val="18"/>
              </w:rPr>
            </w:pPr>
            <w:r>
              <w:rPr>
                <w:rFonts w:eastAsia="仿宋_GB2312"/>
                <w:color w:val="auto"/>
                <w:sz w:val="18"/>
                <w:szCs w:val="18"/>
              </w:rPr>
              <w:t>学习方法：课堂讨论、案例分析等</w:t>
            </w:r>
          </w:p>
          <w:p>
            <w:pPr>
              <w:adjustRightInd w:val="0"/>
              <w:snapToGrid w:val="0"/>
              <w:spacing w:line="240" w:lineRule="exact"/>
              <w:rPr>
                <w:rFonts w:eastAsia="仿宋_GB2312"/>
                <w:color w:val="auto"/>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tcPr>
          <w:p>
            <w:pPr>
              <w:adjustRightInd w:val="0"/>
              <w:snapToGrid w:val="0"/>
              <w:spacing w:line="240" w:lineRule="exact"/>
              <w:jc w:val="center"/>
              <w:rPr>
                <w:rFonts w:eastAsia="仿宋_GB2312"/>
                <w:color w:val="auto"/>
                <w:szCs w:val="21"/>
              </w:rPr>
            </w:pPr>
          </w:p>
        </w:tc>
        <w:tc>
          <w:tcPr>
            <w:tcW w:w="233" w:type="pct"/>
            <w:vMerge w:val="continue"/>
          </w:tcPr>
          <w:p>
            <w:pPr>
              <w:adjustRightInd w:val="0"/>
              <w:snapToGrid w:val="0"/>
              <w:spacing w:line="240" w:lineRule="exact"/>
              <w:rPr>
                <w:rFonts w:eastAsia="仿宋_GB2312"/>
                <w:color w:val="auto"/>
                <w:szCs w:val="21"/>
              </w:rPr>
            </w:pPr>
          </w:p>
        </w:tc>
        <w:tc>
          <w:tcPr>
            <w:tcW w:w="1139" w:type="pct"/>
            <w:vAlign w:val="center"/>
          </w:tcPr>
          <w:p>
            <w:pPr>
              <w:widowControl/>
              <w:adjustRightInd w:val="0"/>
              <w:snapToGrid w:val="0"/>
              <w:spacing w:line="240" w:lineRule="exact"/>
              <w:rPr>
                <w:bCs/>
                <w:color w:val="auto"/>
                <w:sz w:val="18"/>
                <w:szCs w:val="18"/>
              </w:rPr>
            </w:pPr>
            <w:r>
              <w:rPr>
                <w:rFonts w:eastAsia="仿宋_GB2312"/>
                <w:color w:val="auto"/>
                <w:sz w:val="18"/>
                <w:szCs w:val="18"/>
              </w:rPr>
              <w:t>动画专业（游戏设计方向）毕业实习、毕业论文（设计）Ⅰ</w:t>
            </w:r>
          </w:p>
        </w:tc>
        <w:tc>
          <w:tcPr>
            <w:tcW w:w="2574" w:type="pct"/>
            <w:vAlign w:val="center"/>
          </w:tcPr>
          <w:p>
            <w:pPr>
              <w:widowControl/>
              <w:adjustRightInd w:val="0"/>
              <w:snapToGrid w:val="0"/>
              <w:spacing w:line="240" w:lineRule="exact"/>
              <w:ind w:left="-2" w:leftChars="-1"/>
              <w:rPr>
                <w:rFonts w:eastAsia="仿宋_GB2312"/>
                <w:color w:val="auto"/>
                <w:szCs w:val="21"/>
              </w:rPr>
            </w:pPr>
            <w:r>
              <w:rPr>
                <w:rFonts w:eastAsia="仿宋_GB2312"/>
                <w:color w:val="auto"/>
                <w:sz w:val="18"/>
                <w:szCs w:val="18"/>
              </w:rPr>
              <w:t>动画专业总结的课程。培养学生要良好运用所学专业知识，能够独立进行毕业创作，训练学生对产业、专业发展的洞察力，提升毕业创作选题水平。毕业创作选题必须符合动画专业培养方案基本要求。</w:t>
            </w:r>
          </w:p>
        </w:tc>
        <w:tc>
          <w:tcPr>
            <w:tcW w:w="798" w:type="pct"/>
          </w:tcPr>
          <w:p>
            <w:pPr>
              <w:adjustRightInd w:val="0"/>
              <w:snapToGrid w:val="0"/>
              <w:spacing w:line="240" w:lineRule="exact"/>
              <w:rPr>
                <w:rFonts w:eastAsia="仿宋_GB2312"/>
                <w:color w:val="auto"/>
                <w:sz w:val="18"/>
                <w:szCs w:val="18"/>
                <w:highlight w:val="yellow"/>
              </w:rPr>
            </w:pPr>
            <w:r>
              <w:rPr>
                <w:rFonts w:eastAsia="仿宋_GB2312"/>
                <w:color w:val="auto"/>
                <w:sz w:val="18"/>
                <w:szCs w:val="18"/>
              </w:rPr>
              <w:t>学习方法：课堂讨论、案例分析等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6" w:type="pct"/>
            <w:vMerge w:val="continue"/>
          </w:tcPr>
          <w:p>
            <w:pPr>
              <w:adjustRightInd w:val="0"/>
              <w:snapToGrid w:val="0"/>
              <w:spacing w:line="240" w:lineRule="exact"/>
              <w:jc w:val="center"/>
              <w:rPr>
                <w:rFonts w:eastAsia="仿宋_GB2312"/>
                <w:color w:val="auto"/>
                <w:szCs w:val="21"/>
              </w:rPr>
            </w:pPr>
          </w:p>
        </w:tc>
        <w:tc>
          <w:tcPr>
            <w:tcW w:w="233" w:type="pct"/>
            <w:vMerge w:val="continue"/>
          </w:tcPr>
          <w:p>
            <w:pPr>
              <w:adjustRightInd w:val="0"/>
              <w:snapToGrid w:val="0"/>
              <w:spacing w:line="240" w:lineRule="exact"/>
              <w:rPr>
                <w:rFonts w:eastAsia="仿宋_GB2312"/>
                <w:color w:val="auto"/>
                <w:szCs w:val="21"/>
              </w:rPr>
            </w:pPr>
          </w:p>
        </w:tc>
        <w:tc>
          <w:tcPr>
            <w:tcW w:w="1139" w:type="pct"/>
            <w:vAlign w:val="center"/>
          </w:tcPr>
          <w:p>
            <w:pPr>
              <w:widowControl/>
              <w:adjustRightInd w:val="0"/>
              <w:snapToGrid w:val="0"/>
              <w:spacing w:line="240" w:lineRule="exact"/>
              <w:rPr>
                <w:bCs/>
                <w:color w:val="auto"/>
                <w:sz w:val="18"/>
                <w:szCs w:val="18"/>
              </w:rPr>
            </w:pPr>
            <w:r>
              <w:rPr>
                <w:rFonts w:eastAsia="仿宋_GB2312"/>
                <w:color w:val="auto"/>
                <w:sz w:val="18"/>
                <w:szCs w:val="18"/>
              </w:rPr>
              <w:t>动画专业（游戏设计方向）毕业实习、毕业论文（设计）Ⅱ</w:t>
            </w:r>
          </w:p>
        </w:tc>
        <w:tc>
          <w:tcPr>
            <w:tcW w:w="2574"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color w:val="auto"/>
                <w:sz w:val="18"/>
                <w:szCs w:val="18"/>
              </w:rPr>
              <w:t>动画专业总结的课程。培养学生要良好运用所学专业知识，能够独立进行毕业创作，训练学生对产业、专业发展的洞察力，提升毕业创作选题水平。毕业创作选题必须符合动画专业培养方案基本要求。</w:t>
            </w:r>
          </w:p>
        </w:tc>
        <w:tc>
          <w:tcPr>
            <w:tcW w:w="798" w:type="pct"/>
          </w:tcPr>
          <w:p>
            <w:pPr>
              <w:adjustRightInd w:val="0"/>
              <w:snapToGrid w:val="0"/>
              <w:spacing w:line="240" w:lineRule="exact"/>
              <w:rPr>
                <w:rFonts w:eastAsia="仿宋_GB2312"/>
                <w:color w:val="auto"/>
                <w:sz w:val="18"/>
                <w:szCs w:val="18"/>
                <w:highlight w:val="yellow"/>
              </w:rPr>
            </w:pPr>
            <w:r>
              <w:rPr>
                <w:rFonts w:eastAsia="仿宋_GB2312"/>
                <w:color w:val="auto"/>
                <w:sz w:val="18"/>
                <w:szCs w:val="18"/>
              </w:rPr>
              <w:t>学习方法：课堂讨论、案例分析等</w:t>
            </w:r>
          </w:p>
        </w:tc>
      </w:tr>
    </w:tbl>
    <w:p>
      <w:pPr>
        <w:widowControl/>
        <w:spacing w:line="460" w:lineRule="exact"/>
        <w:ind w:firstLine="210" w:firstLineChars="100"/>
        <w:rPr>
          <w:rFonts w:eastAsia="仿宋_GB2312"/>
          <w:color w:val="auto"/>
          <w:kern w:val="0"/>
        </w:rPr>
        <w:sectPr>
          <w:pgSz w:w="16838" w:h="11906" w:orient="landscape"/>
          <w:pgMar w:top="1531" w:right="1020" w:bottom="1134" w:left="1531" w:header="851" w:footer="1531" w:gutter="0"/>
          <w:cols w:space="720" w:num="1"/>
          <w:docGrid w:linePitch="312" w:charSpace="0"/>
        </w:sect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outlineLvl w:val="0"/>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outlineLvl w:val="0"/>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outlineLvl w:val="0"/>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outlineLvl w:val="0"/>
        <w:rPr>
          <w:rFonts w:eastAsia="仿宋_GB2312"/>
          <w:b/>
          <w:bCs/>
          <w:color w:val="auto"/>
          <w:kern w:val="0"/>
          <w:sz w:val="30"/>
          <w:szCs w:val="30"/>
        </w:rPr>
      </w:pPr>
      <w:r>
        <w:rPr>
          <w:rFonts w:eastAsia="仿宋_GB2312"/>
          <w:b/>
          <w:bCs/>
          <w:color w:val="auto"/>
          <w:kern w:val="0"/>
          <w:sz w:val="30"/>
          <w:szCs w:val="30"/>
        </w:rPr>
        <w:t>院长签字：</w:t>
      </w:r>
    </w:p>
    <w:p>
      <w:pPr>
        <w:widowControl/>
        <w:spacing w:line="460" w:lineRule="exact"/>
        <w:rPr>
          <w:rFonts w:eastAsia="仿宋_GB2312"/>
          <w:b/>
          <w:bCs/>
          <w:color w:val="auto"/>
          <w:kern w:val="0"/>
          <w:sz w:val="30"/>
          <w:szCs w:val="30"/>
        </w:rPr>
      </w:pPr>
    </w:p>
    <w:p>
      <w:pPr>
        <w:spacing w:line="480" w:lineRule="exact"/>
        <w:rPr>
          <w:color w:val="auto"/>
        </w:rPr>
      </w:pPr>
    </w:p>
    <w:p>
      <w:pPr>
        <w:rPr>
          <w:color w:val="auto"/>
        </w:rPr>
      </w:pPr>
    </w:p>
    <w:bookmarkEnd w:id="0"/>
    <w:sectPr>
      <w:pgSz w:w="11906" w:h="16838"/>
      <w:pgMar w:top="1531" w:right="1361" w:bottom="1021" w:left="1588" w:header="851" w:footer="1531" w:gutter="0"/>
      <w:cols w:space="720" w:num="1"/>
      <w:docGrid w:linePitch="312"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1F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15 -</w:t>
    </w:r>
    <w:r>
      <w:rPr>
        <w:rFonts w:hint="eastAsia" w:ascii="仿宋_GB2312" w:eastAsia="仿宋_GB2312"/>
        <w:sz w:val="30"/>
        <w:szCs w:val="30"/>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18 -</w:t>
    </w:r>
    <w:r>
      <w:rPr>
        <w:rFonts w:hint="eastAsia" w:ascii="仿宋_GB2312" w:eastAsia="仿宋_GB2312"/>
        <w:sz w:val="30"/>
        <w:szCs w:val="30"/>
      </w:rP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14578" w:y="192"/>
      <w:rPr>
        <w:rStyle w:val="27"/>
        <w:rFonts w:ascii="宋体" w:hAnsi="宋体"/>
        <w:sz w:val="28"/>
        <w:szCs w:val="28"/>
      </w:rPr>
    </w:pPr>
    <w:r>
      <w:rPr>
        <w:rStyle w:val="27"/>
        <w:rFonts w:hint="eastAsia" w:ascii="宋体" w:hAnsi="宋体"/>
        <w:sz w:val="28"/>
        <w:szCs w:val="28"/>
      </w:rPr>
      <w:t>—</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23</w:t>
    </w:r>
    <w:r>
      <w:rPr>
        <w:rFonts w:ascii="宋体" w:hAnsi="宋体"/>
        <w:sz w:val="28"/>
        <w:szCs w:val="28"/>
      </w:rPr>
      <w:fldChar w:fldCharType="end"/>
    </w:r>
    <w:r>
      <w:rPr>
        <w:rStyle w:val="27"/>
        <w:rFonts w:hint="eastAsia" w:ascii="宋体" w:hAnsi="宋体"/>
        <w:sz w:val="28"/>
        <w:szCs w:val="28"/>
      </w:rPr>
      <w:t>—</w:t>
    </w:r>
  </w:p>
  <w:p>
    <w:pPr>
      <w:pStyle w:val="15"/>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1770" w:y="86"/>
      <w:rPr>
        <w:rStyle w:val="27"/>
        <w:rFonts w:ascii="宋体" w:hAnsi="宋体"/>
        <w:sz w:val="28"/>
        <w:szCs w:val="28"/>
      </w:rPr>
    </w:pPr>
    <w:r>
      <w:rPr>
        <w:rStyle w:val="27"/>
        <w:rFonts w:hint="eastAsia" w:ascii="宋体" w:hAnsi="宋体"/>
        <w:sz w:val="28"/>
        <w:szCs w:val="28"/>
      </w:rPr>
      <w:t>—</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26</w:t>
    </w:r>
    <w:r>
      <w:rPr>
        <w:rFonts w:ascii="宋体" w:hAnsi="宋体"/>
        <w:sz w:val="28"/>
        <w:szCs w:val="28"/>
      </w:rPr>
      <w:fldChar w:fldCharType="end"/>
    </w:r>
    <w:r>
      <w:rPr>
        <w:rStyle w:val="27"/>
        <w:rFonts w:hint="eastAsia" w:ascii="宋体" w:hAnsi="宋体"/>
        <w:sz w:val="28"/>
        <w:szCs w:val="28"/>
      </w:rPr>
      <w:t>—</w:t>
    </w:r>
  </w:p>
  <w:p>
    <w:pPr>
      <w:pStyle w:val="15"/>
      <w:ind w:right="360" w:firstLine="360"/>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92C3D"/>
    <w:multiLevelType w:val="singleLevel"/>
    <w:tmpl w:val="48B92C3D"/>
    <w:lvl w:ilvl="0" w:tentative="0">
      <w:start w:val="3"/>
      <w:numFmt w:val="chineseCounting"/>
      <w:suff w:val="nothing"/>
      <w:lvlText w:val="（%1）"/>
      <w:lvlJc w:val="left"/>
      <w:rPr>
        <w:rFonts w:hint="eastAsia"/>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128"/>
    <w:rsid w:val="00021807"/>
    <w:rsid w:val="000472EC"/>
    <w:rsid w:val="000E20DE"/>
    <w:rsid w:val="00193F1C"/>
    <w:rsid w:val="001E65E1"/>
    <w:rsid w:val="001E6BFE"/>
    <w:rsid w:val="00210524"/>
    <w:rsid w:val="002D7091"/>
    <w:rsid w:val="00344128"/>
    <w:rsid w:val="00434624"/>
    <w:rsid w:val="004E06BC"/>
    <w:rsid w:val="005556CB"/>
    <w:rsid w:val="005A1EE5"/>
    <w:rsid w:val="005B16CB"/>
    <w:rsid w:val="006150E8"/>
    <w:rsid w:val="00675DC7"/>
    <w:rsid w:val="00820E94"/>
    <w:rsid w:val="0084150F"/>
    <w:rsid w:val="00891344"/>
    <w:rsid w:val="008D4BEB"/>
    <w:rsid w:val="00914B06"/>
    <w:rsid w:val="00A20D7A"/>
    <w:rsid w:val="00AC2D04"/>
    <w:rsid w:val="00AC7922"/>
    <w:rsid w:val="00B10BA1"/>
    <w:rsid w:val="00D061A5"/>
    <w:rsid w:val="00D43DB9"/>
    <w:rsid w:val="00DF123F"/>
    <w:rsid w:val="00E80908"/>
    <w:rsid w:val="00F01396"/>
    <w:rsid w:val="17A80F1D"/>
    <w:rsid w:val="1D621DE6"/>
    <w:rsid w:val="1D841918"/>
    <w:rsid w:val="1FFC6073"/>
    <w:rsid w:val="2642354C"/>
    <w:rsid w:val="270461B0"/>
    <w:rsid w:val="43497EFD"/>
    <w:rsid w:val="511A619E"/>
    <w:rsid w:val="577B7345"/>
    <w:rsid w:val="5F3A194E"/>
    <w:rsid w:val="6EB4792E"/>
    <w:rsid w:val="768F4276"/>
    <w:rsid w:val="7DC26A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37"/>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8"/>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Document Map"/>
    <w:basedOn w:val="1"/>
    <w:link w:val="104"/>
    <w:unhideWhenUsed/>
    <w:qFormat/>
    <w:uiPriority w:val="0"/>
    <w:rPr>
      <w:rFonts w:ascii="宋体" w:hAnsiTheme="minorHAnsi" w:eastAsiaTheme="minorEastAsia" w:cstheme="minorBidi"/>
      <w:sz w:val="18"/>
      <w:szCs w:val="18"/>
    </w:rPr>
  </w:style>
  <w:style w:type="paragraph" w:styleId="7">
    <w:name w:val="annotation text"/>
    <w:basedOn w:val="1"/>
    <w:link w:val="57"/>
    <w:unhideWhenUsed/>
    <w:qFormat/>
    <w:uiPriority w:val="0"/>
    <w:pPr>
      <w:jc w:val="left"/>
    </w:pPr>
    <w:rPr>
      <w:rFonts w:ascii="Calibri" w:hAnsi="Calibri" w:eastAsiaTheme="minorEastAsia" w:cstheme="minorBidi"/>
      <w:szCs w:val="22"/>
    </w:rPr>
  </w:style>
  <w:style w:type="paragraph" w:styleId="8">
    <w:name w:val="Body Text"/>
    <w:basedOn w:val="1"/>
    <w:link w:val="55"/>
    <w:qFormat/>
    <w:uiPriority w:val="1"/>
    <w:pPr>
      <w:spacing w:after="120"/>
    </w:pPr>
    <w:rPr>
      <w:rFonts w:asciiTheme="minorHAnsi" w:hAnsiTheme="minorHAnsi" w:eastAsiaTheme="minorEastAsia" w:cstheme="minorBidi"/>
    </w:rPr>
  </w:style>
  <w:style w:type="paragraph" w:styleId="9">
    <w:name w:val="Body Text Indent"/>
    <w:basedOn w:val="1"/>
    <w:link w:val="77"/>
    <w:qFormat/>
    <w:uiPriority w:val="0"/>
    <w:pPr>
      <w:spacing w:after="120"/>
      <w:ind w:left="420" w:leftChars="200"/>
    </w:pPr>
  </w:style>
  <w:style w:type="paragraph" w:styleId="10">
    <w:name w:val="List 2"/>
    <w:basedOn w:val="1"/>
    <w:qFormat/>
    <w:uiPriority w:val="0"/>
    <w:pPr>
      <w:ind w:left="100" w:leftChars="200" w:hanging="200" w:hangingChars="200"/>
    </w:pPr>
  </w:style>
  <w:style w:type="paragraph" w:styleId="11">
    <w:name w:val="Plain Text"/>
    <w:basedOn w:val="1"/>
    <w:link w:val="72"/>
    <w:qFormat/>
    <w:uiPriority w:val="0"/>
    <w:pPr>
      <w:widowControl/>
      <w:spacing w:before="100" w:beforeAutospacing="1" w:after="100" w:afterAutospacing="1"/>
      <w:jc w:val="left"/>
    </w:pPr>
    <w:rPr>
      <w:rFonts w:ascii="宋体" w:hAnsi="宋体" w:eastAsiaTheme="minorEastAsia" w:cstheme="minorBidi"/>
      <w:sz w:val="24"/>
    </w:rPr>
  </w:style>
  <w:style w:type="paragraph" w:styleId="12">
    <w:name w:val="Date"/>
    <w:basedOn w:val="1"/>
    <w:next w:val="1"/>
    <w:link w:val="79"/>
    <w:qFormat/>
    <w:uiPriority w:val="0"/>
    <w:pPr>
      <w:ind w:left="100" w:leftChars="2500"/>
    </w:pPr>
  </w:style>
  <w:style w:type="paragraph" w:styleId="13">
    <w:name w:val="Body Text Indent 2"/>
    <w:basedOn w:val="1"/>
    <w:link w:val="78"/>
    <w:qFormat/>
    <w:uiPriority w:val="0"/>
    <w:pPr>
      <w:spacing w:after="120" w:line="480" w:lineRule="auto"/>
      <w:ind w:left="420" w:leftChars="200"/>
    </w:pPr>
  </w:style>
  <w:style w:type="paragraph" w:styleId="14">
    <w:name w:val="Balloon Text"/>
    <w:basedOn w:val="1"/>
    <w:link w:val="46"/>
    <w:qFormat/>
    <w:uiPriority w:val="0"/>
    <w:rPr>
      <w:rFonts w:asciiTheme="minorHAnsi" w:hAnsiTheme="minorHAnsi" w:eastAsiaTheme="minorEastAsia" w:cstheme="minorBidi"/>
      <w:sz w:val="18"/>
      <w:szCs w:val="18"/>
    </w:rPr>
  </w:style>
  <w:style w:type="paragraph" w:styleId="15">
    <w:name w:val="footer"/>
    <w:basedOn w:val="1"/>
    <w:link w:val="32"/>
    <w:unhideWhenUsed/>
    <w:qFormat/>
    <w:uiPriority w:val="99"/>
    <w:pPr>
      <w:tabs>
        <w:tab w:val="center" w:pos="4153"/>
        <w:tab w:val="right" w:pos="8306"/>
      </w:tabs>
      <w:snapToGrid w:val="0"/>
      <w:jc w:val="left"/>
    </w:pPr>
    <w:rPr>
      <w:sz w:val="18"/>
      <w:szCs w:val="18"/>
    </w:rPr>
  </w:style>
  <w:style w:type="paragraph" w:styleId="16">
    <w:name w:val="header"/>
    <w:basedOn w:val="1"/>
    <w:link w:val="31"/>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8"/>
    <w:qFormat/>
    <w:uiPriority w:val="0"/>
    <w:pPr>
      <w:spacing w:before="240" w:after="60" w:line="312" w:lineRule="auto"/>
      <w:jc w:val="center"/>
      <w:outlineLvl w:val="1"/>
    </w:pPr>
    <w:rPr>
      <w:rFonts w:ascii="等线 Light" w:hAnsi="等线 Light" w:eastAsiaTheme="minorEastAsia" w:cstheme="minorBidi"/>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64"/>
    <w:qFormat/>
    <w:uiPriority w:val="0"/>
    <w:pPr>
      <w:widowControl/>
      <w:spacing w:before="100" w:beforeAutospacing="1" w:after="100" w:afterAutospacing="1"/>
      <w:jc w:val="left"/>
    </w:pPr>
    <w:rPr>
      <w:rFonts w:ascii="宋体" w:hAnsi="宋体" w:cs="宋体"/>
      <w:sz w:val="24"/>
    </w:rPr>
  </w:style>
  <w:style w:type="paragraph" w:styleId="20">
    <w:name w:val="Title"/>
    <w:basedOn w:val="1"/>
    <w:next w:val="1"/>
    <w:link w:val="53"/>
    <w:qFormat/>
    <w:uiPriority w:val="0"/>
    <w:pPr>
      <w:spacing w:before="240" w:after="60"/>
      <w:jc w:val="center"/>
      <w:outlineLvl w:val="0"/>
    </w:pPr>
    <w:rPr>
      <w:rFonts w:ascii="Calibri Light" w:hAnsi="Calibri Light" w:eastAsiaTheme="minorEastAsia" w:cstheme="minorBidi"/>
      <w:b/>
      <w:bCs/>
      <w:sz w:val="32"/>
      <w:szCs w:val="32"/>
    </w:rPr>
  </w:style>
  <w:style w:type="paragraph" w:styleId="21">
    <w:name w:val="annotation subject"/>
    <w:basedOn w:val="7"/>
    <w:next w:val="7"/>
    <w:link w:val="67"/>
    <w:qFormat/>
    <w:uiPriority w:val="0"/>
  </w:style>
  <w:style w:type="paragraph" w:styleId="22">
    <w:name w:val="Body Text First Indent"/>
    <w:basedOn w:val="8"/>
    <w:link w:val="131"/>
    <w:semiHidden/>
    <w:unhideWhenUsed/>
    <w:qFormat/>
    <w:uiPriority w:val="99"/>
    <w:pPr>
      <w:ind w:firstLine="420" w:firstLineChars="100"/>
    </w:p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页眉 Char"/>
    <w:basedOn w:val="25"/>
    <w:link w:val="16"/>
    <w:qFormat/>
    <w:uiPriority w:val="0"/>
    <w:rPr>
      <w:sz w:val="18"/>
      <w:szCs w:val="18"/>
    </w:rPr>
  </w:style>
  <w:style w:type="character" w:customStyle="1" w:styleId="32">
    <w:name w:val="页脚 Char"/>
    <w:basedOn w:val="25"/>
    <w:link w:val="15"/>
    <w:qFormat/>
    <w:uiPriority w:val="99"/>
    <w:rPr>
      <w:sz w:val="18"/>
      <w:szCs w:val="18"/>
    </w:rPr>
  </w:style>
  <w:style w:type="character" w:customStyle="1" w:styleId="33">
    <w:name w:val="标题 1 Char"/>
    <w:basedOn w:val="25"/>
    <w:qFormat/>
    <w:uiPriority w:val="1"/>
    <w:rPr>
      <w:rFonts w:ascii="Times New Roman" w:hAnsi="Times New Roman" w:eastAsia="宋体" w:cs="Times New Roman"/>
      <w:b/>
      <w:bCs/>
      <w:kern w:val="44"/>
      <w:sz w:val="44"/>
      <w:szCs w:val="44"/>
    </w:rPr>
  </w:style>
  <w:style w:type="character" w:customStyle="1" w:styleId="34">
    <w:name w:val="标题 2 Char"/>
    <w:basedOn w:val="25"/>
    <w:qFormat/>
    <w:uiPriority w:val="1"/>
    <w:rPr>
      <w:rFonts w:asciiTheme="majorHAnsi" w:hAnsiTheme="majorHAnsi" w:eastAsiaTheme="majorEastAsia" w:cstheme="majorBidi"/>
      <w:b/>
      <w:bCs/>
      <w:sz w:val="32"/>
      <w:szCs w:val="32"/>
    </w:rPr>
  </w:style>
  <w:style w:type="character" w:customStyle="1" w:styleId="35">
    <w:name w:val="标题 3 Char"/>
    <w:basedOn w:val="25"/>
    <w:semiHidden/>
    <w:qFormat/>
    <w:uiPriority w:val="0"/>
    <w:rPr>
      <w:rFonts w:ascii="Times New Roman" w:hAnsi="Times New Roman" w:eastAsia="宋体" w:cs="Times New Roman"/>
      <w:b/>
      <w:bCs/>
      <w:sz w:val="32"/>
      <w:szCs w:val="32"/>
    </w:rPr>
  </w:style>
  <w:style w:type="character" w:customStyle="1" w:styleId="36">
    <w:name w:val="标题 1 Char1"/>
    <w:link w:val="2"/>
    <w:qFormat/>
    <w:uiPriority w:val="1"/>
    <w:rPr>
      <w:rFonts w:ascii="Times New Roman" w:hAnsi="Times New Roman" w:eastAsia="仿宋" w:cs="Times New Roman"/>
      <w:b/>
      <w:bCs/>
      <w:kern w:val="44"/>
      <w:sz w:val="32"/>
      <w:szCs w:val="44"/>
    </w:rPr>
  </w:style>
  <w:style w:type="character" w:customStyle="1" w:styleId="37">
    <w:name w:val="标题 2 Char1"/>
    <w:link w:val="3"/>
    <w:qFormat/>
    <w:uiPriority w:val="1"/>
    <w:rPr>
      <w:rFonts w:ascii="Calibri Light" w:hAnsi="Calibri Light" w:eastAsia="宋体" w:cs="Times New Roman"/>
      <w:b/>
      <w:bCs/>
      <w:sz w:val="32"/>
      <w:szCs w:val="32"/>
    </w:rPr>
  </w:style>
  <w:style w:type="character" w:customStyle="1" w:styleId="38">
    <w:name w:val="标题 3 Char1"/>
    <w:link w:val="4"/>
    <w:qFormat/>
    <w:uiPriority w:val="9"/>
    <w:rPr>
      <w:rFonts w:ascii="Times New Roman" w:hAnsi="Times New Roman" w:eastAsia="宋体" w:cs="Times New Roman"/>
      <w:b/>
      <w:bCs/>
      <w:sz w:val="32"/>
      <w:szCs w:val="32"/>
    </w:rPr>
  </w:style>
  <w:style w:type="character" w:customStyle="1" w:styleId="39">
    <w:name w:val="引用 Char1"/>
    <w:link w:val="40"/>
    <w:qFormat/>
    <w:uiPriority w:val="99"/>
    <w:rPr>
      <w:i/>
      <w:iCs/>
      <w:color w:val="000000"/>
      <w:szCs w:val="24"/>
    </w:rPr>
  </w:style>
  <w:style w:type="paragraph" w:styleId="40">
    <w:name w:val="Quote"/>
    <w:basedOn w:val="1"/>
    <w:next w:val="1"/>
    <w:link w:val="39"/>
    <w:qFormat/>
    <w:uiPriority w:val="99"/>
    <w:rPr>
      <w:rFonts w:asciiTheme="minorHAnsi" w:hAnsiTheme="minorHAnsi" w:eastAsiaTheme="minorEastAsia" w:cstheme="minorBidi"/>
      <w:i/>
      <w:iCs/>
      <w:color w:val="000000"/>
    </w:rPr>
  </w:style>
  <w:style w:type="character" w:customStyle="1" w:styleId="41">
    <w:name w:val="引用 Char"/>
    <w:basedOn w:val="25"/>
    <w:qFormat/>
    <w:uiPriority w:val="99"/>
    <w:rPr>
      <w:rFonts w:ascii="Times New Roman" w:hAnsi="Times New Roman" w:eastAsia="宋体" w:cs="Times New Roman"/>
      <w:i/>
      <w:iCs/>
      <w:color w:val="404040" w:themeColor="text1" w:themeTint="BF"/>
      <w:szCs w:val="24"/>
      <w14:textFill>
        <w14:solidFill>
          <w14:schemeClr w14:val="tx1">
            <w14:lumMod w14:val="75000"/>
            <w14:lumOff w14:val="25000"/>
          </w14:schemeClr>
        </w14:solidFill>
      </w14:textFill>
    </w:rPr>
  </w:style>
  <w:style w:type="character" w:customStyle="1" w:styleId="42">
    <w:name w:val="页眉 字符"/>
    <w:qFormat/>
    <w:uiPriority w:val="0"/>
    <w:rPr>
      <w:sz w:val="18"/>
      <w:szCs w:val="18"/>
    </w:rPr>
  </w:style>
  <w:style w:type="character" w:customStyle="1" w:styleId="43">
    <w:name w:val="普通(网站) 字符"/>
    <w:qFormat/>
    <w:uiPriority w:val="99"/>
    <w:rPr>
      <w:rFonts w:ascii="宋体" w:hAnsi="宋体" w:cs="宋体"/>
      <w:sz w:val="24"/>
      <w:szCs w:val="24"/>
    </w:rPr>
  </w:style>
  <w:style w:type="character" w:customStyle="1" w:styleId="44">
    <w:name w:val="批注文字 字符"/>
    <w:qFormat/>
    <w:uiPriority w:val="0"/>
  </w:style>
  <w:style w:type="character" w:customStyle="1" w:styleId="45">
    <w:name w:val="明显强调1"/>
    <w:qFormat/>
    <w:uiPriority w:val="21"/>
    <w:rPr>
      <w:b/>
      <w:bCs/>
      <w:i/>
      <w:iCs/>
      <w:color w:val="5B9BD5"/>
    </w:rPr>
  </w:style>
  <w:style w:type="character" w:customStyle="1" w:styleId="46">
    <w:name w:val="批注框文本 Char1"/>
    <w:link w:val="14"/>
    <w:qFormat/>
    <w:uiPriority w:val="0"/>
    <w:rPr>
      <w:sz w:val="18"/>
      <w:szCs w:val="18"/>
    </w:rPr>
  </w:style>
  <w:style w:type="character" w:customStyle="1" w:styleId="47">
    <w:name w:val="批注框文本 Char"/>
    <w:basedOn w:val="25"/>
    <w:qFormat/>
    <w:uiPriority w:val="0"/>
    <w:rPr>
      <w:rFonts w:ascii="Times New Roman" w:hAnsi="Times New Roman" w:eastAsia="宋体" w:cs="Times New Roman"/>
      <w:sz w:val="18"/>
      <w:szCs w:val="18"/>
    </w:rPr>
  </w:style>
  <w:style w:type="character" w:customStyle="1" w:styleId="48">
    <w:name w:val="副标题 Char2"/>
    <w:link w:val="17"/>
    <w:qFormat/>
    <w:uiPriority w:val="0"/>
    <w:rPr>
      <w:rFonts w:ascii="等线 Light" w:hAnsi="等线 Light"/>
      <w:b/>
      <w:bCs/>
      <w:kern w:val="28"/>
      <w:sz w:val="32"/>
      <w:szCs w:val="32"/>
    </w:rPr>
  </w:style>
  <w:style w:type="character" w:customStyle="1" w:styleId="49">
    <w:name w:val="副标题 Char"/>
    <w:basedOn w:val="25"/>
    <w:qFormat/>
    <w:uiPriority w:val="0"/>
    <w:rPr>
      <w:rFonts w:eastAsia="宋体" w:asciiTheme="majorHAnsi" w:hAnsiTheme="majorHAnsi" w:cstheme="majorBidi"/>
      <w:b/>
      <w:bCs/>
      <w:kern w:val="28"/>
      <w:sz w:val="32"/>
      <w:szCs w:val="32"/>
    </w:rPr>
  </w:style>
  <w:style w:type="character" w:customStyle="1" w:styleId="50">
    <w:name w:val="页眉 字符1"/>
    <w:qFormat/>
    <w:uiPriority w:val="0"/>
    <w:rPr>
      <w:kern w:val="2"/>
      <w:sz w:val="18"/>
      <w:szCs w:val="18"/>
    </w:rPr>
  </w:style>
  <w:style w:type="character" w:customStyle="1" w:styleId="51">
    <w:name w:val="apple-style-span"/>
    <w:basedOn w:val="25"/>
    <w:qFormat/>
    <w:uiPriority w:val="0"/>
  </w:style>
  <w:style w:type="character" w:customStyle="1" w:styleId="52">
    <w:name w:val="zisiblack2"/>
    <w:qFormat/>
    <w:uiPriority w:val="0"/>
    <w:rPr>
      <w:rFonts w:cs="Times New Roman"/>
    </w:rPr>
  </w:style>
  <w:style w:type="character" w:customStyle="1" w:styleId="53">
    <w:name w:val="标题 Char1"/>
    <w:link w:val="20"/>
    <w:qFormat/>
    <w:uiPriority w:val="0"/>
    <w:rPr>
      <w:rFonts w:ascii="Calibri Light" w:hAnsi="Calibri Light"/>
      <w:b/>
      <w:bCs/>
      <w:sz w:val="32"/>
      <w:szCs w:val="32"/>
    </w:rPr>
  </w:style>
  <w:style w:type="character" w:customStyle="1" w:styleId="54">
    <w:name w:val="标题 Char"/>
    <w:basedOn w:val="25"/>
    <w:qFormat/>
    <w:uiPriority w:val="0"/>
    <w:rPr>
      <w:rFonts w:eastAsia="宋体" w:asciiTheme="majorHAnsi" w:hAnsiTheme="majorHAnsi" w:cstheme="majorBidi"/>
      <w:b/>
      <w:bCs/>
      <w:sz w:val="32"/>
      <w:szCs w:val="32"/>
    </w:rPr>
  </w:style>
  <w:style w:type="character" w:customStyle="1" w:styleId="55">
    <w:name w:val="正文文本 Char1"/>
    <w:link w:val="8"/>
    <w:qFormat/>
    <w:uiPriority w:val="1"/>
    <w:rPr>
      <w:szCs w:val="24"/>
    </w:rPr>
  </w:style>
  <w:style w:type="character" w:customStyle="1" w:styleId="56">
    <w:name w:val="正文文本 Char"/>
    <w:basedOn w:val="25"/>
    <w:qFormat/>
    <w:uiPriority w:val="1"/>
    <w:rPr>
      <w:rFonts w:ascii="Times New Roman" w:hAnsi="Times New Roman" w:eastAsia="宋体" w:cs="Times New Roman"/>
      <w:szCs w:val="24"/>
    </w:rPr>
  </w:style>
  <w:style w:type="character" w:customStyle="1" w:styleId="57">
    <w:name w:val="批注文字 Char2"/>
    <w:link w:val="7"/>
    <w:qFormat/>
    <w:uiPriority w:val="0"/>
    <w:rPr>
      <w:rFonts w:ascii="Calibri" w:hAnsi="Calibri"/>
    </w:rPr>
  </w:style>
  <w:style w:type="character" w:customStyle="1" w:styleId="58">
    <w:name w:val="批注文字 Char"/>
    <w:basedOn w:val="25"/>
    <w:qFormat/>
    <w:uiPriority w:val="0"/>
    <w:rPr>
      <w:rFonts w:ascii="Times New Roman" w:hAnsi="Times New Roman" w:eastAsia="宋体" w:cs="Times New Roman"/>
      <w:szCs w:val="24"/>
    </w:rPr>
  </w:style>
  <w:style w:type="character" w:customStyle="1" w:styleId="59">
    <w:name w:val="页脚 字符"/>
    <w:qFormat/>
    <w:uiPriority w:val="99"/>
    <w:rPr>
      <w:kern w:val="2"/>
      <w:sz w:val="18"/>
      <w:szCs w:val="18"/>
    </w:rPr>
  </w:style>
  <w:style w:type="character" w:customStyle="1" w:styleId="60">
    <w:name w:val="副标题 字符"/>
    <w:qFormat/>
    <w:uiPriority w:val="0"/>
    <w:rPr>
      <w:rFonts w:ascii="Calibri Light" w:hAnsi="Calibri Light" w:eastAsia="宋体" w:cs="Times New Roman"/>
      <w:b/>
      <w:bCs/>
      <w:kern w:val="28"/>
      <w:sz w:val="32"/>
      <w:szCs w:val="32"/>
    </w:rPr>
  </w:style>
  <w:style w:type="character" w:customStyle="1" w:styleId="61">
    <w:name w:val="批注主题 字符"/>
    <w:qFormat/>
    <w:uiPriority w:val="0"/>
    <w:rPr>
      <w:rFonts w:ascii="Times New Roman" w:hAnsi="Times New Roman" w:eastAsia="宋体" w:cs="Times New Roman"/>
      <w:b/>
      <w:bCs/>
      <w:kern w:val="0"/>
      <w:sz w:val="20"/>
      <w:szCs w:val="20"/>
    </w:rPr>
  </w:style>
  <w:style w:type="character" w:customStyle="1" w:styleId="62">
    <w:name w:val="Internet 链接"/>
    <w:qFormat/>
    <w:uiPriority w:val="0"/>
    <w:rPr>
      <w:rFonts w:cs="Times New Roman"/>
      <w:color w:val="0000FF"/>
      <w:u w:val="single"/>
    </w:rPr>
  </w:style>
  <w:style w:type="character" w:customStyle="1" w:styleId="63">
    <w:name w:val="不明显强调1"/>
    <w:qFormat/>
    <w:uiPriority w:val="19"/>
    <w:rPr>
      <w:i/>
      <w:iCs/>
      <w:color w:val="808080"/>
    </w:rPr>
  </w:style>
  <w:style w:type="character" w:customStyle="1" w:styleId="64">
    <w:name w:val="普通(网站) Char1"/>
    <w:link w:val="19"/>
    <w:qFormat/>
    <w:uiPriority w:val="0"/>
    <w:rPr>
      <w:rFonts w:ascii="宋体" w:hAnsi="宋体" w:eastAsia="宋体" w:cs="宋体"/>
      <w:sz w:val="24"/>
      <w:szCs w:val="24"/>
    </w:rPr>
  </w:style>
  <w:style w:type="character" w:customStyle="1" w:styleId="65">
    <w:name w:val="gongkai_content_2_title1"/>
    <w:qFormat/>
    <w:uiPriority w:val="0"/>
    <w:rPr>
      <w:rFonts w:hint="eastAsia" w:ascii="黑体" w:eastAsia="黑体"/>
      <w:b/>
      <w:bCs/>
      <w:sz w:val="28"/>
      <w:szCs w:val="28"/>
    </w:rPr>
  </w:style>
  <w:style w:type="character" w:customStyle="1" w:styleId="66">
    <w:name w:val="apple-converted-space"/>
    <w:qFormat/>
    <w:uiPriority w:val="0"/>
  </w:style>
  <w:style w:type="character" w:customStyle="1" w:styleId="67">
    <w:name w:val="批注主题 Char1"/>
    <w:link w:val="21"/>
    <w:qFormat/>
    <w:uiPriority w:val="0"/>
    <w:rPr>
      <w:rFonts w:ascii="Calibri" w:hAnsi="Calibri"/>
    </w:rPr>
  </w:style>
  <w:style w:type="character" w:customStyle="1" w:styleId="68">
    <w:name w:val="批注主题 Char"/>
    <w:basedOn w:val="58"/>
    <w:qFormat/>
    <w:uiPriority w:val="0"/>
    <w:rPr>
      <w:rFonts w:ascii="Times New Roman" w:hAnsi="Times New Roman" w:eastAsia="宋体" w:cs="Times New Roman"/>
      <w:b/>
      <w:bCs/>
      <w:szCs w:val="24"/>
    </w:rPr>
  </w:style>
  <w:style w:type="character" w:customStyle="1" w:styleId="69">
    <w:name w:val="news021"/>
    <w:qFormat/>
    <w:uiPriority w:val="0"/>
    <w:rPr>
      <w:sz w:val="23"/>
      <w:szCs w:val="23"/>
    </w:rPr>
  </w:style>
  <w:style w:type="character" w:customStyle="1" w:styleId="70">
    <w:name w:val="text1"/>
    <w:qFormat/>
    <w:uiPriority w:val="0"/>
    <w:rPr>
      <w:color w:val="000000"/>
      <w:sz w:val="20"/>
      <w:szCs w:val="20"/>
    </w:rPr>
  </w:style>
  <w:style w:type="character" w:customStyle="1" w:styleId="71">
    <w:name w:val="批注文字 Char1"/>
    <w:qFormat/>
    <w:uiPriority w:val="99"/>
    <w:rPr>
      <w:rFonts w:ascii="宋体" w:hAnsi="宋体" w:cs="宋体"/>
      <w:sz w:val="22"/>
      <w:szCs w:val="22"/>
      <w:lang w:eastAsia="en-US"/>
    </w:rPr>
  </w:style>
  <w:style w:type="character" w:customStyle="1" w:styleId="72">
    <w:name w:val="纯文本 Char1"/>
    <w:link w:val="11"/>
    <w:qFormat/>
    <w:uiPriority w:val="0"/>
    <w:rPr>
      <w:rFonts w:ascii="宋体" w:hAnsi="宋体"/>
      <w:sz w:val="24"/>
      <w:szCs w:val="24"/>
    </w:rPr>
  </w:style>
  <w:style w:type="character" w:customStyle="1" w:styleId="73">
    <w:name w:val="纯文本 Char"/>
    <w:basedOn w:val="25"/>
    <w:qFormat/>
    <w:uiPriority w:val="0"/>
    <w:rPr>
      <w:rFonts w:ascii="宋体" w:hAnsi="Courier New" w:eastAsia="宋体" w:cs="Courier New"/>
      <w:szCs w:val="21"/>
    </w:rPr>
  </w:style>
  <w:style w:type="paragraph" w:customStyle="1" w:styleId="74">
    <w:name w:val="_Style 65"/>
    <w:basedOn w:val="1"/>
    <w:next w:val="75"/>
    <w:qFormat/>
    <w:uiPriority w:val="34"/>
    <w:pPr>
      <w:ind w:firstLine="420" w:firstLineChars="200"/>
    </w:pPr>
    <w:rPr>
      <w:rFonts w:ascii="Calibri" w:hAnsi="Calibri"/>
      <w:szCs w:val="22"/>
    </w:rPr>
  </w:style>
  <w:style w:type="paragraph" w:styleId="75">
    <w:name w:val="List Paragraph"/>
    <w:basedOn w:val="1"/>
    <w:qFormat/>
    <w:uiPriority w:val="34"/>
    <w:pPr>
      <w:ind w:firstLine="420" w:firstLineChars="200"/>
    </w:pPr>
  </w:style>
  <w:style w:type="character" w:customStyle="1" w:styleId="76">
    <w:name w:val="正文文本缩进 Char"/>
    <w:basedOn w:val="25"/>
    <w:semiHidden/>
    <w:qFormat/>
    <w:uiPriority w:val="99"/>
    <w:rPr>
      <w:rFonts w:ascii="Times New Roman" w:hAnsi="Times New Roman" w:eastAsia="宋体" w:cs="Times New Roman"/>
      <w:szCs w:val="24"/>
    </w:rPr>
  </w:style>
  <w:style w:type="character" w:customStyle="1" w:styleId="77">
    <w:name w:val="正文文本缩进 Char1"/>
    <w:link w:val="9"/>
    <w:qFormat/>
    <w:uiPriority w:val="0"/>
    <w:rPr>
      <w:rFonts w:ascii="Times New Roman" w:hAnsi="Times New Roman" w:eastAsia="宋体" w:cs="Times New Roman"/>
      <w:szCs w:val="24"/>
    </w:rPr>
  </w:style>
  <w:style w:type="character" w:customStyle="1" w:styleId="78">
    <w:name w:val="正文文本缩进 2 Char"/>
    <w:basedOn w:val="25"/>
    <w:link w:val="13"/>
    <w:qFormat/>
    <w:uiPriority w:val="0"/>
    <w:rPr>
      <w:rFonts w:ascii="Times New Roman" w:hAnsi="Times New Roman" w:eastAsia="宋体" w:cs="Times New Roman"/>
      <w:szCs w:val="24"/>
    </w:rPr>
  </w:style>
  <w:style w:type="character" w:customStyle="1" w:styleId="79">
    <w:name w:val="日期 Char"/>
    <w:basedOn w:val="25"/>
    <w:link w:val="12"/>
    <w:qFormat/>
    <w:uiPriority w:val="0"/>
    <w:rPr>
      <w:rFonts w:ascii="Times New Roman" w:hAnsi="Times New Roman" w:eastAsia="宋体" w:cs="Times New Roman"/>
      <w:szCs w:val="24"/>
    </w:rPr>
  </w:style>
  <w:style w:type="paragraph" w:customStyle="1" w:styleId="80">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81">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2">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83">
    <w:name w:val="_Style 24"/>
    <w:basedOn w:val="1"/>
    <w:qFormat/>
    <w:uiPriority w:val="0"/>
    <w:rPr>
      <w:szCs w:val="20"/>
    </w:rPr>
  </w:style>
  <w:style w:type="paragraph" w:customStyle="1" w:styleId="84">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Char Char Char Char1"/>
    <w:basedOn w:val="1"/>
    <w:qFormat/>
    <w:uiPriority w:val="0"/>
    <w:pPr>
      <w:ind w:firstLine="540" w:firstLineChars="225"/>
    </w:pPr>
    <w:rPr>
      <w:szCs w:val="20"/>
    </w:rPr>
  </w:style>
  <w:style w:type="paragraph" w:customStyle="1" w:styleId="87">
    <w:name w:val="Char Char3"/>
    <w:basedOn w:val="1"/>
    <w:qFormat/>
    <w:uiPriority w:val="0"/>
    <w:rPr>
      <w:szCs w:val="20"/>
    </w:rPr>
  </w:style>
  <w:style w:type="paragraph" w:customStyle="1" w:styleId="88">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p15"/>
    <w:basedOn w:val="1"/>
    <w:qFormat/>
    <w:uiPriority w:val="0"/>
    <w:pPr>
      <w:widowControl/>
    </w:pPr>
    <w:rPr>
      <w:rFonts w:ascii="Arial" w:hAnsi="Arial" w:cs="Arial"/>
      <w:color w:val="000000"/>
      <w:kern w:val="0"/>
      <w:sz w:val="32"/>
      <w:szCs w:val="32"/>
    </w:rPr>
  </w:style>
  <w:style w:type="paragraph" w:customStyle="1" w:styleId="90">
    <w:name w:val="Char6 Char Char Char1"/>
    <w:basedOn w:val="1"/>
    <w:qFormat/>
    <w:uiPriority w:val="0"/>
    <w:rPr>
      <w:rFonts w:ascii="Tahoma" w:hAnsi="Tahoma"/>
      <w:sz w:val="28"/>
      <w:szCs w:val="20"/>
    </w:rPr>
  </w:style>
  <w:style w:type="paragraph" w:customStyle="1" w:styleId="91">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2">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9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95">
    <w:name w:val="_Style 38"/>
    <w:basedOn w:val="1"/>
    <w:qFormat/>
    <w:uiPriority w:val="0"/>
    <w:rPr>
      <w:szCs w:val="20"/>
    </w:rPr>
  </w:style>
  <w:style w:type="paragraph" w:customStyle="1" w:styleId="96">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缩进"/>
    <w:basedOn w:val="1"/>
    <w:qFormat/>
    <w:uiPriority w:val="0"/>
    <w:pPr>
      <w:ind w:firstLine="200" w:firstLineChars="200"/>
    </w:pPr>
  </w:style>
  <w:style w:type="paragraph" w:customStyle="1" w:styleId="9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99">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0">
    <w:name w:val="Char6 Char Char Char"/>
    <w:basedOn w:val="1"/>
    <w:qFormat/>
    <w:uiPriority w:val="0"/>
    <w:rPr>
      <w:rFonts w:ascii="Tahoma" w:hAnsi="Tahoma"/>
      <w:sz w:val="28"/>
      <w:szCs w:val="20"/>
    </w:rPr>
  </w:style>
  <w:style w:type="paragraph" w:customStyle="1" w:styleId="101">
    <w:name w:val="Char"/>
    <w:basedOn w:val="1"/>
    <w:qFormat/>
    <w:uiPriority w:val="0"/>
    <w:rPr>
      <w:szCs w:val="20"/>
    </w:rPr>
  </w:style>
  <w:style w:type="paragraph" w:customStyle="1" w:styleId="102">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3">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04">
    <w:name w:val="文档结构图 Char1"/>
    <w:link w:val="6"/>
    <w:qFormat/>
    <w:uiPriority w:val="0"/>
    <w:rPr>
      <w:rFonts w:ascii="宋体"/>
      <w:sz w:val="18"/>
      <w:szCs w:val="18"/>
    </w:rPr>
  </w:style>
  <w:style w:type="character" w:customStyle="1" w:styleId="105">
    <w:name w:val="文档结构图 Char"/>
    <w:basedOn w:val="25"/>
    <w:semiHidden/>
    <w:qFormat/>
    <w:uiPriority w:val="99"/>
    <w:rPr>
      <w:rFonts w:ascii="Microsoft YaHei UI" w:hAnsi="Times New Roman" w:eastAsia="Microsoft YaHei UI" w:cs="Times New Roman"/>
      <w:sz w:val="18"/>
      <w:szCs w:val="18"/>
    </w:rPr>
  </w:style>
  <w:style w:type="character" w:customStyle="1" w:styleId="106">
    <w:name w:val="文档结构图 字符1"/>
    <w:semiHidden/>
    <w:qFormat/>
    <w:uiPriority w:val="0"/>
    <w:rPr>
      <w:rFonts w:ascii="Microsoft YaHei UI" w:eastAsia="Microsoft YaHei UI"/>
      <w:kern w:val="2"/>
      <w:sz w:val="18"/>
      <w:szCs w:val="18"/>
    </w:rPr>
  </w:style>
  <w:style w:type="character" w:customStyle="1" w:styleId="107">
    <w:name w:val="UserStyle_1"/>
    <w:link w:val="108"/>
    <w:qFormat/>
    <w:uiPriority w:val="0"/>
    <w:rPr>
      <w:rFonts w:ascii="Calibri Light" w:hAnsi="Calibri Light"/>
      <w:b/>
      <w:bCs/>
      <w:sz w:val="32"/>
      <w:szCs w:val="32"/>
    </w:rPr>
  </w:style>
  <w:style w:type="paragraph" w:customStyle="1" w:styleId="108">
    <w:name w:val="Heading2"/>
    <w:basedOn w:val="1"/>
    <w:next w:val="1"/>
    <w:link w:val="107"/>
    <w:qFormat/>
    <w:uiPriority w:val="0"/>
    <w:pPr>
      <w:keepNext/>
      <w:keepLines/>
      <w:widowControl/>
      <w:spacing w:before="260" w:after="260" w:line="416" w:lineRule="auto"/>
      <w:textAlignment w:val="baseline"/>
    </w:pPr>
    <w:rPr>
      <w:rFonts w:ascii="Calibri Light" w:hAnsi="Calibri Light" w:eastAsiaTheme="minorEastAsia" w:cstheme="minorBidi"/>
      <w:b/>
      <w:bCs/>
      <w:sz w:val="32"/>
      <w:szCs w:val="32"/>
    </w:rPr>
  </w:style>
  <w:style w:type="character" w:customStyle="1" w:styleId="109">
    <w:name w:val="UserStyle_23"/>
    <w:link w:val="110"/>
    <w:qFormat/>
    <w:uiPriority w:val="0"/>
    <w:rPr>
      <w:rFonts w:ascii="宋体" w:hAnsi="宋体"/>
      <w:sz w:val="24"/>
      <w:szCs w:val="24"/>
    </w:rPr>
  </w:style>
  <w:style w:type="paragraph" w:customStyle="1" w:styleId="110">
    <w:name w:val="PlainText"/>
    <w:basedOn w:val="1"/>
    <w:link w:val="109"/>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11">
    <w:name w:val="UserStyle_24"/>
    <w:link w:val="112"/>
    <w:qFormat/>
    <w:uiPriority w:val="0"/>
    <w:rPr>
      <w:sz w:val="18"/>
      <w:szCs w:val="18"/>
    </w:rPr>
  </w:style>
  <w:style w:type="paragraph" w:customStyle="1" w:styleId="112">
    <w:name w:val="Acetate"/>
    <w:basedOn w:val="1"/>
    <w:link w:val="111"/>
    <w:qFormat/>
    <w:uiPriority w:val="0"/>
    <w:pPr>
      <w:widowControl/>
      <w:textAlignment w:val="baseline"/>
    </w:pPr>
    <w:rPr>
      <w:rFonts w:asciiTheme="minorHAnsi" w:hAnsiTheme="minorHAnsi" w:eastAsiaTheme="minorEastAsia" w:cstheme="minorBidi"/>
      <w:sz w:val="18"/>
      <w:szCs w:val="18"/>
    </w:rPr>
  </w:style>
  <w:style w:type="character" w:customStyle="1" w:styleId="113">
    <w:name w:val="UserStyle_9"/>
    <w:link w:val="114"/>
    <w:qFormat/>
    <w:uiPriority w:val="0"/>
    <w:rPr>
      <w:rFonts w:eastAsia="仿宋"/>
      <w:b/>
      <w:bCs/>
      <w:kern w:val="44"/>
      <w:sz w:val="32"/>
      <w:szCs w:val="44"/>
    </w:rPr>
  </w:style>
  <w:style w:type="paragraph" w:customStyle="1" w:styleId="114">
    <w:name w:val="Heading1"/>
    <w:basedOn w:val="1"/>
    <w:next w:val="1"/>
    <w:link w:val="113"/>
    <w:qFormat/>
    <w:uiPriority w:val="0"/>
    <w:pPr>
      <w:keepNext/>
      <w:keepLines/>
      <w:widowControl/>
      <w:spacing w:line="360" w:lineRule="auto"/>
      <w:ind w:firstLine="643" w:firstLineChars="200"/>
      <w:textAlignment w:val="baseline"/>
    </w:pPr>
    <w:rPr>
      <w:rFonts w:eastAsia="仿宋" w:asciiTheme="minorHAnsi" w:hAnsiTheme="minorHAnsi" w:cstheme="minorBidi"/>
      <w:b/>
      <w:bCs/>
      <w:kern w:val="44"/>
      <w:sz w:val="32"/>
      <w:szCs w:val="44"/>
    </w:rPr>
  </w:style>
  <w:style w:type="character" w:customStyle="1" w:styleId="115">
    <w:name w:val="UserStyle_27"/>
    <w:link w:val="116"/>
    <w:qFormat/>
    <w:uiPriority w:val="0"/>
    <w:rPr>
      <w:i/>
      <w:iCs/>
      <w:color w:val="000000"/>
      <w:szCs w:val="24"/>
    </w:rPr>
  </w:style>
  <w:style w:type="paragraph" w:customStyle="1" w:styleId="116">
    <w:name w:val="180"/>
    <w:basedOn w:val="1"/>
    <w:next w:val="1"/>
    <w:link w:val="115"/>
    <w:qFormat/>
    <w:uiPriority w:val="0"/>
    <w:pPr>
      <w:widowControl/>
      <w:textAlignment w:val="baseline"/>
    </w:pPr>
    <w:rPr>
      <w:rFonts w:asciiTheme="minorHAnsi" w:hAnsiTheme="minorHAnsi" w:eastAsiaTheme="minorEastAsia" w:cstheme="minorBidi"/>
      <w:i/>
      <w:iCs/>
      <w:color w:val="000000"/>
    </w:rPr>
  </w:style>
  <w:style w:type="character" w:customStyle="1" w:styleId="117">
    <w:name w:val="UserStyle_18"/>
    <w:link w:val="118"/>
    <w:qFormat/>
    <w:uiPriority w:val="0"/>
    <w:rPr>
      <w:rFonts w:ascii="Calibri" w:hAnsi="Calibri"/>
    </w:rPr>
  </w:style>
  <w:style w:type="paragraph" w:customStyle="1" w:styleId="118">
    <w:name w:val="AnnotationSubject"/>
    <w:basedOn w:val="119"/>
    <w:next w:val="119"/>
    <w:link w:val="117"/>
    <w:qFormat/>
    <w:uiPriority w:val="0"/>
    <w:rPr>
      <w:rFonts w:eastAsiaTheme="minorEastAsia" w:cstheme="minorBidi"/>
    </w:rPr>
  </w:style>
  <w:style w:type="paragraph" w:customStyle="1" w:styleId="119">
    <w:name w:val="AnnotationText"/>
    <w:basedOn w:val="1"/>
    <w:link w:val="120"/>
    <w:qFormat/>
    <w:uiPriority w:val="0"/>
    <w:pPr>
      <w:widowControl/>
      <w:jc w:val="left"/>
      <w:textAlignment w:val="baseline"/>
    </w:pPr>
    <w:rPr>
      <w:rFonts w:ascii="Calibri" w:hAnsi="Calibri"/>
      <w:szCs w:val="22"/>
    </w:rPr>
  </w:style>
  <w:style w:type="character" w:customStyle="1" w:styleId="120">
    <w:name w:val="UserStyle_12"/>
    <w:link w:val="119"/>
    <w:qFormat/>
    <w:uiPriority w:val="0"/>
    <w:rPr>
      <w:rFonts w:ascii="Calibri" w:hAnsi="Calibri" w:eastAsia="宋体" w:cs="Times New Roman"/>
    </w:rPr>
  </w:style>
  <w:style w:type="character" w:customStyle="1" w:styleId="121">
    <w:name w:val="UserStyle_15"/>
    <w:link w:val="122"/>
    <w:qFormat/>
    <w:uiPriority w:val="0"/>
    <w:rPr>
      <w:b/>
      <w:bCs/>
      <w:sz w:val="32"/>
      <w:szCs w:val="32"/>
    </w:rPr>
  </w:style>
  <w:style w:type="paragraph" w:customStyle="1" w:styleId="122">
    <w:name w:val="Heading3"/>
    <w:basedOn w:val="1"/>
    <w:next w:val="1"/>
    <w:link w:val="121"/>
    <w:qFormat/>
    <w:uiPriority w:val="0"/>
    <w:pPr>
      <w:keepNext/>
      <w:keepLines/>
      <w:widowControl/>
      <w:spacing w:before="260" w:after="260" w:line="416" w:lineRule="auto"/>
      <w:textAlignment w:val="baseline"/>
    </w:pPr>
    <w:rPr>
      <w:rFonts w:asciiTheme="minorHAnsi" w:hAnsiTheme="minorHAnsi" w:eastAsiaTheme="minorEastAsia" w:cstheme="minorBidi"/>
      <w:b/>
      <w:bCs/>
      <w:sz w:val="32"/>
      <w:szCs w:val="32"/>
    </w:rPr>
  </w:style>
  <w:style w:type="character" w:customStyle="1" w:styleId="123">
    <w:name w:val="UserStyle_11"/>
    <w:link w:val="124"/>
    <w:qFormat/>
    <w:uiPriority w:val="0"/>
    <w:rPr>
      <w:rFonts w:ascii="宋体" w:hAnsi="宋体"/>
      <w:sz w:val="24"/>
      <w:szCs w:val="24"/>
    </w:rPr>
  </w:style>
  <w:style w:type="paragraph" w:customStyle="1" w:styleId="124">
    <w:name w:val="HtmlNormal"/>
    <w:basedOn w:val="1"/>
    <w:link w:val="123"/>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25">
    <w:name w:val="UserStyle_25"/>
    <w:link w:val="126"/>
    <w:qFormat/>
    <w:uiPriority w:val="0"/>
    <w:rPr>
      <w:szCs w:val="24"/>
    </w:rPr>
  </w:style>
  <w:style w:type="paragraph" w:customStyle="1" w:styleId="126">
    <w:name w:val="BodyText"/>
    <w:basedOn w:val="1"/>
    <w:link w:val="125"/>
    <w:qFormat/>
    <w:uiPriority w:val="0"/>
    <w:pPr>
      <w:widowControl/>
      <w:spacing w:after="120"/>
      <w:textAlignment w:val="baseline"/>
    </w:pPr>
    <w:rPr>
      <w:rFonts w:asciiTheme="minorHAnsi" w:hAnsiTheme="minorHAnsi" w:eastAsiaTheme="minorEastAsia" w:cstheme="minorBidi"/>
    </w:rPr>
  </w:style>
  <w:style w:type="paragraph" w:customStyle="1" w:styleId="127">
    <w:name w:val="BodyText1I"/>
    <w:basedOn w:val="126"/>
    <w:qFormat/>
    <w:uiPriority w:val="0"/>
    <w:pPr>
      <w:ind w:firstLine="420" w:firstLineChars="100"/>
    </w:pPr>
  </w:style>
  <w:style w:type="character" w:customStyle="1" w:styleId="128">
    <w:name w:val="NormalCharacter"/>
    <w:qFormat/>
    <w:uiPriority w:val="0"/>
  </w:style>
  <w:style w:type="character" w:customStyle="1" w:styleId="129">
    <w:name w:val="普通(网站) Char"/>
    <w:qFormat/>
    <w:uiPriority w:val="0"/>
    <w:rPr>
      <w:rFonts w:ascii="宋体" w:hAnsi="宋体" w:eastAsia="宋体" w:cs="宋体"/>
      <w:sz w:val="24"/>
      <w:szCs w:val="24"/>
      <w:lang w:val="en-US" w:eastAsia="zh-CN" w:bidi="ar-SA"/>
    </w:rPr>
  </w:style>
  <w:style w:type="character" w:customStyle="1" w:styleId="130">
    <w:name w:val="副标题 Char1"/>
    <w:qFormat/>
    <w:uiPriority w:val="0"/>
    <w:rPr>
      <w:rFonts w:ascii="等线 Light" w:hAnsi="等线 Light"/>
      <w:b/>
      <w:bCs/>
      <w:kern w:val="28"/>
      <w:sz w:val="32"/>
      <w:szCs w:val="32"/>
    </w:rPr>
  </w:style>
  <w:style w:type="character" w:customStyle="1" w:styleId="131">
    <w:name w:val="正文首行缩进 Char"/>
    <w:basedOn w:val="55"/>
    <w:link w:val="2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24</Pages>
  <Words>3310</Words>
  <Characters>18867</Characters>
  <Lines>157</Lines>
  <Paragraphs>44</Paragraphs>
  <TotalTime>2</TotalTime>
  <ScaleCrop>false</ScaleCrop>
  <LinksUpToDate>false</LinksUpToDate>
  <CharactersWithSpaces>22133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2020-08-19T06:48:00Z</dcterms:created>
  <dc:creator>qu</dc:creator>
  <cp:lastModifiedBy>oasis</cp:lastModifiedBy>
  <dcterms:modified xsi:type="dcterms:W3CDTF">2021-02-17T10:20:47Z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