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center"/>
        <w:rPr>
          <w:rFonts w:ascii="黑体" w:hAnsi="黑体" w:eastAsia="黑体"/>
          <w:color w:val="auto"/>
          <w:sz w:val="36"/>
          <w:szCs w:val="36"/>
        </w:rPr>
      </w:pPr>
      <w:bookmarkStart w:id="4" w:name="_GoBack"/>
      <w:r>
        <w:rPr>
          <w:rFonts w:ascii="黑体" w:hAnsi="黑体" w:eastAsia="黑体"/>
          <w:color w:val="auto"/>
          <w:sz w:val="36"/>
          <w:szCs w:val="36"/>
        </w:rPr>
        <w:t>工程造价专业（3+2对口贯通分段培养）</w:t>
      </w:r>
    </w:p>
    <w:p>
      <w:pPr>
        <w:adjustRightInd w:val="0"/>
        <w:snapToGrid w:val="0"/>
        <w:spacing w:after="240" w:afterLines="100" w:line="600" w:lineRule="exact"/>
        <w:jc w:val="center"/>
        <w:rPr>
          <w:rFonts w:ascii="黑体" w:hAnsi="黑体" w:eastAsia="黑体"/>
          <w:color w:val="auto"/>
          <w:sz w:val="36"/>
          <w:szCs w:val="36"/>
        </w:rPr>
      </w:pPr>
      <w:r>
        <w:rPr>
          <w:rFonts w:ascii="黑体" w:hAnsi="黑体" w:eastAsia="黑体"/>
          <w:color w:val="auto"/>
          <w:sz w:val="36"/>
          <w:szCs w:val="36"/>
        </w:rPr>
        <w:t>人才培养方案</w:t>
      </w:r>
    </w:p>
    <w:p>
      <w:pPr>
        <w:adjustRightInd w:val="0"/>
        <w:snapToGrid w:val="0"/>
        <w:spacing w:line="360" w:lineRule="auto"/>
        <w:ind w:firstLine="600"/>
        <w:rPr>
          <w:rFonts w:eastAsiaTheme="minorEastAsia"/>
          <w:bCs/>
          <w:color w:val="auto"/>
          <w:sz w:val="28"/>
          <w:szCs w:val="28"/>
        </w:rPr>
      </w:pPr>
      <w:r>
        <w:rPr>
          <w:rFonts w:eastAsia="黑体"/>
          <w:bCs/>
          <w:color w:val="auto"/>
          <w:sz w:val="28"/>
          <w:szCs w:val="28"/>
        </w:rPr>
        <w:t>一、专业名称(中英文)与专业代码</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专业名称：</w:t>
      </w:r>
      <w:r>
        <w:rPr>
          <w:rFonts w:eastAsia="仿宋_GB2312"/>
          <w:color w:val="auto"/>
          <w:sz w:val="24"/>
        </w:rPr>
        <w:t>工程造价</w:t>
      </w:r>
      <w:r>
        <w:rPr>
          <w:rFonts w:hint="eastAsia" w:eastAsia="仿宋_GB2312"/>
          <w:color w:val="auto"/>
          <w:sz w:val="24"/>
        </w:rPr>
        <w:t>（</w:t>
      </w:r>
      <w:r>
        <w:rPr>
          <w:rFonts w:eastAsia="仿宋_GB2312"/>
          <w:color w:val="auto"/>
          <w:sz w:val="24"/>
        </w:rPr>
        <w:t>Engineering Cost</w:t>
      </w:r>
      <w:r>
        <w:rPr>
          <w:rFonts w:hint="eastAsia" w:eastAsia="仿宋_GB2312"/>
          <w:color w:val="auto"/>
          <w:sz w:val="24"/>
        </w:rPr>
        <w:t>）</w:t>
      </w:r>
    </w:p>
    <w:p>
      <w:pPr>
        <w:adjustRightInd w:val="0"/>
        <w:snapToGrid w:val="0"/>
        <w:spacing w:line="360" w:lineRule="auto"/>
        <w:ind w:firstLine="480" w:firstLineChars="200"/>
        <w:rPr>
          <w:rFonts w:eastAsia="仿宋_GB2312"/>
          <w:color w:val="auto"/>
          <w:sz w:val="24"/>
        </w:rPr>
      </w:pPr>
      <w:r>
        <w:rPr>
          <w:rFonts w:eastAsia="仿宋_GB2312"/>
          <w:color w:val="auto"/>
          <w:sz w:val="24"/>
        </w:rPr>
        <w:t>专业代码：120105</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二、培养目标</w:t>
      </w:r>
    </w:p>
    <w:p>
      <w:pPr>
        <w:adjustRightInd w:val="0"/>
        <w:spacing w:line="360" w:lineRule="auto"/>
        <w:ind w:firstLine="480" w:firstLineChars="200"/>
        <w:rPr>
          <w:rFonts w:eastAsia="仿宋_GB2312"/>
          <w:color w:val="auto"/>
          <w:sz w:val="24"/>
        </w:rPr>
      </w:pPr>
      <w:r>
        <w:rPr>
          <w:rFonts w:eastAsia="仿宋_GB2312"/>
          <w:color w:val="auto"/>
          <w:sz w:val="24"/>
        </w:rPr>
        <w:t>培养德</w:t>
      </w:r>
      <w:r>
        <w:rPr>
          <w:rFonts w:hint="eastAsia" w:eastAsia="仿宋_GB2312"/>
          <w:color w:val="auto"/>
          <w:sz w:val="24"/>
        </w:rPr>
        <w:t>、</w:t>
      </w:r>
      <w:r>
        <w:rPr>
          <w:rFonts w:eastAsia="仿宋_GB2312"/>
          <w:color w:val="auto"/>
          <w:sz w:val="24"/>
        </w:rPr>
        <w:t>智</w:t>
      </w:r>
      <w:r>
        <w:rPr>
          <w:rFonts w:hint="eastAsia" w:eastAsia="仿宋_GB2312"/>
          <w:color w:val="auto"/>
          <w:sz w:val="24"/>
        </w:rPr>
        <w:t>、</w:t>
      </w:r>
      <w:r>
        <w:rPr>
          <w:rFonts w:eastAsia="仿宋_GB2312"/>
          <w:color w:val="auto"/>
          <w:sz w:val="24"/>
        </w:rPr>
        <w:t>体</w:t>
      </w:r>
      <w:r>
        <w:rPr>
          <w:rFonts w:hint="eastAsia" w:eastAsia="仿宋_GB2312"/>
          <w:color w:val="auto"/>
          <w:sz w:val="24"/>
        </w:rPr>
        <w:t>、</w:t>
      </w:r>
      <w:r>
        <w:rPr>
          <w:rFonts w:eastAsia="仿宋_GB2312"/>
          <w:color w:val="auto"/>
          <w:sz w:val="24"/>
        </w:rPr>
        <w:t>美</w:t>
      </w:r>
      <w:r>
        <w:rPr>
          <w:rFonts w:hint="eastAsia" w:eastAsia="仿宋_GB2312"/>
          <w:color w:val="auto"/>
          <w:sz w:val="24"/>
        </w:rPr>
        <w:t>、</w:t>
      </w:r>
      <w:r>
        <w:rPr>
          <w:rFonts w:eastAsia="仿宋_GB2312"/>
          <w:color w:val="auto"/>
          <w:sz w:val="24"/>
        </w:rPr>
        <w:t>劳全面发展，对国家和社会具有高度责任感，了解建设工程领域的发展动态和问题，掌握土木工程技术知识及与工程造价管理相关的管理、经济、法律等基础知识，全面获得工程师基本训练，具备</w:t>
      </w:r>
      <w:r>
        <w:rPr>
          <w:rFonts w:hint="eastAsia" w:eastAsia="仿宋_GB2312"/>
          <w:color w:val="auto"/>
          <w:sz w:val="24"/>
        </w:rPr>
        <w:t>工程决策分析与经济评价</w:t>
      </w:r>
      <w:r>
        <w:rPr>
          <w:rFonts w:eastAsia="仿宋_GB2312"/>
          <w:color w:val="auto"/>
          <w:sz w:val="24"/>
        </w:rPr>
        <w:t>、</w:t>
      </w:r>
      <w:r>
        <w:rPr>
          <w:rFonts w:hint="eastAsia" w:eastAsia="仿宋_GB2312"/>
          <w:color w:val="auto"/>
          <w:sz w:val="24"/>
          <w:lang w:eastAsia="zh-CN"/>
        </w:rPr>
        <w:t>工程招投标与合同管理</w:t>
      </w:r>
      <w:r>
        <w:rPr>
          <w:rFonts w:eastAsia="仿宋_GB2312"/>
          <w:color w:val="auto"/>
          <w:sz w:val="24"/>
        </w:rPr>
        <w:t>、工程计量与计价等能力，具备良好的思想道德素质、文化素质、专业素质及身心素质的社会主义事业合格建设者和可靠接班人，能够在建设工程领域从事全过程造价管理工作的高级技术技能型工程造价专业人才。</w:t>
      </w:r>
    </w:p>
    <w:p>
      <w:pPr>
        <w:adjustRightInd w:val="0"/>
        <w:snapToGrid w:val="0"/>
        <w:spacing w:line="360" w:lineRule="auto"/>
        <w:ind w:firstLine="480" w:firstLineChars="200"/>
        <w:rPr>
          <w:rFonts w:eastAsia="仿宋_GB2312"/>
          <w:color w:val="auto"/>
          <w:sz w:val="24"/>
        </w:rPr>
      </w:pPr>
      <w:r>
        <w:rPr>
          <w:rFonts w:eastAsia="仿宋_GB2312"/>
          <w:color w:val="auto"/>
          <w:sz w:val="24"/>
        </w:rPr>
        <w:t>本专业毕业生在毕业5年后达到以下目标：</w:t>
      </w:r>
    </w:p>
    <w:p>
      <w:pPr>
        <w:adjustRightInd w:val="0"/>
        <w:snapToGrid w:val="0"/>
        <w:spacing w:line="360" w:lineRule="auto"/>
        <w:ind w:firstLine="480" w:firstLineChars="200"/>
        <w:rPr>
          <w:rFonts w:eastAsia="仿宋_GB2312"/>
          <w:color w:val="auto"/>
          <w:sz w:val="24"/>
        </w:rPr>
      </w:pPr>
      <w:r>
        <w:rPr>
          <w:rFonts w:eastAsia="仿宋_GB2312"/>
          <w:color w:val="auto"/>
          <w:sz w:val="24"/>
        </w:rPr>
        <w:t>目标1：具有较高的科学文化素养、良好的职业道德，能够综合考虑法律、环境与可持续性发展等因素影响，在工程实践中能坚持公众利益优先。</w:t>
      </w:r>
    </w:p>
    <w:p>
      <w:pPr>
        <w:adjustRightInd w:val="0"/>
        <w:snapToGrid w:val="0"/>
        <w:spacing w:line="360" w:lineRule="auto"/>
        <w:ind w:firstLine="480" w:firstLineChars="200"/>
        <w:rPr>
          <w:rFonts w:eastAsia="仿宋_GB2312"/>
          <w:color w:val="auto"/>
          <w:sz w:val="24"/>
        </w:rPr>
      </w:pPr>
      <w:r>
        <w:rPr>
          <w:rFonts w:eastAsia="仿宋_GB2312"/>
          <w:color w:val="auto"/>
          <w:sz w:val="24"/>
        </w:rPr>
        <w:t>目标2：能够适应现代建筑工程技术发展，融会贯通自然科学知识、工具性知识和工程造价专业知识，能对复杂工程项目进行造价管理时提供系统性的解决方案。</w:t>
      </w:r>
    </w:p>
    <w:p>
      <w:pPr>
        <w:adjustRightInd w:val="0"/>
        <w:snapToGrid w:val="0"/>
        <w:spacing w:line="360" w:lineRule="auto"/>
        <w:ind w:firstLine="480" w:firstLineChars="200"/>
        <w:rPr>
          <w:rFonts w:eastAsia="仿宋_GB2312"/>
          <w:color w:val="auto"/>
          <w:sz w:val="24"/>
        </w:rPr>
      </w:pPr>
      <w:r>
        <w:rPr>
          <w:rFonts w:eastAsia="仿宋_GB2312"/>
          <w:color w:val="auto"/>
          <w:sz w:val="24"/>
        </w:rPr>
        <w:t>目标3：具有在建设工程领域从事具备</w:t>
      </w:r>
      <w:r>
        <w:rPr>
          <w:rFonts w:hint="eastAsia" w:eastAsia="仿宋_GB2312"/>
          <w:color w:val="auto"/>
          <w:sz w:val="24"/>
        </w:rPr>
        <w:t>工程决策分析与经济评价</w:t>
      </w:r>
      <w:r>
        <w:rPr>
          <w:rFonts w:eastAsia="仿宋_GB2312"/>
          <w:color w:val="auto"/>
          <w:sz w:val="24"/>
        </w:rPr>
        <w:t>、</w:t>
      </w:r>
      <w:r>
        <w:rPr>
          <w:rFonts w:hint="eastAsia" w:eastAsia="仿宋_GB2312"/>
          <w:color w:val="auto"/>
          <w:sz w:val="24"/>
          <w:lang w:eastAsia="zh-CN"/>
        </w:rPr>
        <w:t>工程招投标与合同管理</w:t>
      </w:r>
      <w:r>
        <w:rPr>
          <w:rFonts w:eastAsia="仿宋_GB2312"/>
          <w:color w:val="auto"/>
          <w:sz w:val="24"/>
        </w:rPr>
        <w:t>、工程计量与计价等就业竞争力，能够成为单位的业务骨干，有获得中级技术职称的能力。</w:t>
      </w:r>
    </w:p>
    <w:p>
      <w:pPr>
        <w:adjustRightInd w:val="0"/>
        <w:snapToGrid w:val="0"/>
        <w:spacing w:line="360" w:lineRule="auto"/>
        <w:ind w:firstLine="480" w:firstLineChars="200"/>
        <w:rPr>
          <w:rFonts w:eastAsia="仿宋_GB2312"/>
          <w:color w:val="auto"/>
          <w:sz w:val="24"/>
        </w:rPr>
      </w:pPr>
      <w:r>
        <w:rPr>
          <w:rFonts w:eastAsia="仿宋_GB2312"/>
          <w:color w:val="auto"/>
          <w:sz w:val="24"/>
        </w:rPr>
        <w:t>目标4：具有良好的团队合作精神、创新意识、以及与业内或同行进行良好沟通的能力。</w:t>
      </w:r>
    </w:p>
    <w:p>
      <w:pPr>
        <w:adjustRightInd w:val="0"/>
        <w:snapToGrid w:val="0"/>
        <w:spacing w:line="360" w:lineRule="auto"/>
        <w:ind w:firstLine="480" w:firstLineChars="200"/>
        <w:rPr>
          <w:rFonts w:eastAsia="仿宋_GB2312"/>
          <w:color w:val="auto"/>
          <w:sz w:val="24"/>
        </w:rPr>
      </w:pPr>
      <w:r>
        <w:rPr>
          <w:rFonts w:eastAsia="仿宋_GB2312"/>
          <w:color w:val="auto"/>
          <w:sz w:val="24"/>
        </w:rPr>
        <w:t>目标5：具有全球化意识和国际视野，能够适应社会发展变化、通过多种途径进行知识更新，具有良好的终身学习习惯和自我发展能力。</w:t>
      </w:r>
    </w:p>
    <w:p>
      <w:pPr>
        <w:adjustRightInd w:val="0"/>
        <w:snapToGrid w:val="0"/>
        <w:spacing w:line="360" w:lineRule="auto"/>
        <w:ind w:firstLine="480" w:firstLineChars="200"/>
        <w:rPr>
          <w:rFonts w:eastAsia="仿宋_GB2312"/>
          <w:color w:val="auto"/>
          <w:sz w:val="28"/>
          <w:szCs w:val="28"/>
        </w:rPr>
      </w:pPr>
      <w:r>
        <w:rPr>
          <w:rFonts w:eastAsia="仿宋_GB2312"/>
          <w:color w:val="auto"/>
          <w:sz w:val="24"/>
        </w:rPr>
        <w:t>专业培养特色：本专业在人才培养的过程中，注重学生实践能力的培养，实践比例较高，坚持“厚基础，宽口径”的专业培养特色，培养学生具有良好土木工程技术基础，同时掌握经济、管理、法律和信息化造价管理知识，成为高级技术技能型工程造价专业人才。</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三、毕业要求</w:t>
      </w:r>
    </w:p>
    <w:p>
      <w:pPr>
        <w:adjustRightInd w:val="0"/>
        <w:snapToGrid w:val="0"/>
        <w:spacing w:line="360" w:lineRule="auto"/>
        <w:ind w:firstLine="482" w:firstLineChars="200"/>
        <w:rPr>
          <w:rFonts w:eastAsia="楷体_GB2312"/>
          <w:b/>
          <w:color w:val="auto"/>
          <w:sz w:val="24"/>
        </w:rPr>
      </w:pPr>
      <w:r>
        <w:rPr>
          <w:rFonts w:eastAsia="楷体_GB2312"/>
          <w:b/>
          <w:color w:val="auto"/>
          <w:sz w:val="24"/>
        </w:rPr>
        <w:t>（一）毕业基本要求</w:t>
      </w:r>
    </w:p>
    <w:p>
      <w:pPr>
        <w:adjustRightInd w:val="0"/>
        <w:snapToGrid w:val="0"/>
        <w:spacing w:line="360" w:lineRule="auto"/>
        <w:ind w:firstLine="480" w:firstLineChars="200"/>
        <w:rPr>
          <w:rFonts w:eastAsia="仿宋_GB2312"/>
          <w:color w:val="auto"/>
          <w:sz w:val="24"/>
        </w:rPr>
      </w:pPr>
      <w:r>
        <w:rPr>
          <w:rFonts w:eastAsia="仿宋_GB2312"/>
          <w:color w:val="auto"/>
          <w:sz w:val="24"/>
        </w:rPr>
        <w:t>工程造价专业学生主要学习建设工程领域的土木工程技术知识，工程造价管理相关的管理、经济和法律等基础知识，具备</w:t>
      </w:r>
      <w:r>
        <w:rPr>
          <w:rFonts w:hint="eastAsia" w:eastAsia="仿宋_GB2312"/>
          <w:color w:val="auto"/>
          <w:sz w:val="24"/>
        </w:rPr>
        <w:t>工程决策分析与经济评价</w:t>
      </w:r>
      <w:r>
        <w:rPr>
          <w:rFonts w:eastAsia="仿宋_GB2312"/>
          <w:color w:val="auto"/>
          <w:sz w:val="24"/>
        </w:rPr>
        <w:t>、</w:t>
      </w:r>
      <w:r>
        <w:rPr>
          <w:rFonts w:hint="eastAsia" w:eastAsia="仿宋_GB2312"/>
          <w:color w:val="auto"/>
          <w:sz w:val="24"/>
          <w:lang w:eastAsia="zh-CN"/>
        </w:rPr>
        <w:t>工程招投标与合同管理</w:t>
      </w:r>
      <w:r>
        <w:rPr>
          <w:rFonts w:eastAsia="仿宋_GB2312"/>
          <w:color w:val="auto"/>
          <w:sz w:val="24"/>
        </w:rPr>
        <w:t>、工程计量与计价等能力，具体知识、能力、素质要求如下：</w:t>
      </w:r>
    </w:p>
    <w:p>
      <w:pPr>
        <w:adjustRightInd w:val="0"/>
        <w:snapToGrid w:val="0"/>
        <w:spacing w:line="360" w:lineRule="auto"/>
        <w:ind w:firstLine="480" w:firstLineChars="200"/>
        <w:rPr>
          <w:rFonts w:eastAsia="仿宋_GB2312"/>
          <w:color w:val="auto"/>
          <w:sz w:val="24"/>
        </w:rPr>
      </w:pPr>
      <w:r>
        <w:rPr>
          <w:rFonts w:eastAsia="仿宋_GB2312"/>
          <w:color w:val="auto"/>
          <w:sz w:val="24"/>
        </w:rPr>
        <w:t>1.知识要求</w:t>
      </w:r>
    </w:p>
    <w:p>
      <w:pPr>
        <w:adjustRightInd w:val="0"/>
        <w:snapToGrid w:val="0"/>
        <w:spacing w:line="360" w:lineRule="auto"/>
        <w:ind w:firstLine="480" w:firstLineChars="200"/>
        <w:rPr>
          <w:rFonts w:eastAsia="仿宋_GB2312"/>
          <w:color w:val="auto"/>
          <w:sz w:val="24"/>
        </w:rPr>
      </w:pPr>
      <w:r>
        <w:rPr>
          <w:rFonts w:eastAsia="仿宋_GB2312"/>
          <w:color w:val="auto"/>
          <w:sz w:val="24"/>
        </w:rPr>
        <w:t>（1）</w:t>
      </w:r>
      <w:r>
        <w:rPr>
          <w:rFonts w:hint="eastAsia" w:eastAsia="仿宋_GB2312"/>
          <w:color w:val="auto"/>
          <w:sz w:val="24"/>
        </w:rPr>
        <w:t>具备</w:t>
      </w:r>
      <w:r>
        <w:rPr>
          <w:rFonts w:eastAsia="仿宋_GB2312"/>
          <w:color w:val="auto"/>
          <w:sz w:val="24"/>
        </w:rPr>
        <w:t>工程造价管理、</w:t>
      </w:r>
      <w:r>
        <w:rPr>
          <w:rFonts w:hint="eastAsia" w:eastAsia="仿宋_GB2312"/>
          <w:color w:val="auto"/>
          <w:sz w:val="24"/>
          <w:lang w:eastAsia="zh-CN"/>
        </w:rPr>
        <w:t>工程项目管理</w:t>
      </w:r>
      <w:r>
        <w:rPr>
          <w:rFonts w:eastAsia="仿宋_GB2312"/>
          <w:color w:val="auto"/>
          <w:sz w:val="24"/>
        </w:rPr>
        <w:t>、</w:t>
      </w:r>
      <w:r>
        <w:rPr>
          <w:rFonts w:hint="eastAsia" w:eastAsia="仿宋_GB2312"/>
          <w:color w:val="auto"/>
          <w:sz w:val="24"/>
          <w:lang w:eastAsia="zh-CN"/>
        </w:rPr>
        <w:t>工程招投标与合同管理</w:t>
      </w:r>
      <w:r>
        <w:rPr>
          <w:rFonts w:eastAsia="仿宋_GB2312"/>
          <w:color w:val="auto"/>
          <w:sz w:val="24"/>
        </w:rPr>
        <w:t>等相关管理知识；</w:t>
      </w:r>
    </w:p>
    <w:p>
      <w:pPr>
        <w:adjustRightInd w:val="0"/>
        <w:snapToGrid w:val="0"/>
        <w:spacing w:line="360" w:lineRule="auto"/>
        <w:ind w:firstLine="480" w:firstLineChars="200"/>
        <w:rPr>
          <w:rFonts w:eastAsia="仿宋_GB2312"/>
          <w:color w:val="auto"/>
          <w:sz w:val="24"/>
        </w:rPr>
      </w:pPr>
      <w:r>
        <w:rPr>
          <w:rFonts w:eastAsia="仿宋_GB2312"/>
          <w:color w:val="auto"/>
          <w:sz w:val="24"/>
        </w:rPr>
        <w:t>（2）具备扎实的经济相关知识；</w:t>
      </w:r>
    </w:p>
    <w:p>
      <w:pPr>
        <w:adjustRightInd w:val="0"/>
        <w:snapToGrid w:val="0"/>
        <w:spacing w:line="360" w:lineRule="auto"/>
        <w:ind w:firstLine="480" w:firstLineChars="200"/>
        <w:rPr>
          <w:rFonts w:eastAsia="仿宋_GB2312"/>
          <w:color w:val="auto"/>
          <w:sz w:val="24"/>
        </w:rPr>
      </w:pPr>
      <w:r>
        <w:rPr>
          <w:rFonts w:eastAsia="仿宋_GB2312"/>
          <w:color w:val="auto"/>
          <w:sz w:val="24"/>
        </w:rPr>
        <w:t>（3）具备良好的法规知识，掌握相关</w:t>
      </w:r>
      <w:r>
        <w:rPr>
          <w:rFonts w:hint="eastAsia" w:eastAsia="仿宋_GB2312"/>
          <w:color w:val="auto"/>
          <w:sz w:val="24"/>
          <w:lang w:eastAsia="zh-CN"/>
        </w:rPr>
        <w:t>建设法规</w:t>
      </w:r>
      <w:r>
        <w:rPr>
          <w:rFonts w:eastAsia="仿宋_GB2312"/>
          <w:color w:val="auto"/>
          <w:sz w:val="24"/>
        </w:rPr>
        <w:t>的主要内容。</w:t>
      </w:r>
    </w:p>
    <w:p>
      <w:pPr>
        <w:adjustRightInd w:val="0"/>
        <w:snapToGrid w:val="0"/>
        <w:spacing w:line="360" w:lineRule="auto"/>
        <w:ind w:firstLine="480" w:firstLineChars="200"/>
        <w:rPr>
          <w:rFonts w:eastAsia="仿宋_GB2312"/>
          <w:color w:val="auto"/>
          <w:sz w:val="24"/>
        </w:rPr>
      </w:pPr>
      <w:r>
        <w:rPr>
          <w:rFonts w:eastAsia="仿宋_GB2312"/>
          <w:color w:val="auto"/>
          <w:sz w:val="24"/>
        </w:rPr>
        <w:t>2.能力要求</w:t>
      </w:r>
    </w:p>
    <w:p>
      <w:pPr>
        <w:adjustRightInd w:val="0"/>
        <w:snapToGrid w:val="0"/>
        <w:spacing w:line="360" w:lineRule="auto"/>
        <w:ind w:firstLine="480" w:firstLineChars="200"/>
        <w:rPr>
          <w:rFonts w:eastAsia="仿宋_GB2312"/>
          <w:color w:val="auto"/>
          <w:sz w:val="24"/>
        </w:rPr>
      </w:pPr>
      <w:r>
        <w:rPr>
          <w:rFonts w:eastAsia="仿宋_GB2312"/>
          <w:color w:val="auto"/>
          <w:sz w:val="24"/>
        </w:rPr>
        <w:t>（1）具备编制工程招投标文件及工程量清单、确定合同价款的能力，具备工程造价审计的能力；</w:t>
      </w:r>
    </w:p>
    <w:p>
      <w:pPr>
        <w:adjustRightInd w:val="0"/>
        <w:snapToGrid w:val="0"/>
        <w:spacing w:line="360" w:lineRule="auto"/>
        <w:ind w:firstLine="480" w:firstLineChars="200"/>
        <w:rPr>
          <w:rFonts w:eastAsia="仿宋_GB2312"/>
          <w:color w:val="auto"/>
          <w:sz w:val="24"/>
        </w:rPr>
      </w:pPr>
      <w:r>
        <w:rPr>
          <w:rFonts w:eastAsia="仿宋_GB2312"/>
          <w:color w:val="auto"/>
          <w:sz w:val="24"/>
        </w:rPr>
        <w:t>（2）具备进行工程项目策划及投融资分析，具备编制和审查工程投资估算的能力。</w:t>
      </w:r>
    </w:p>
    <w:p>
      <w:pPr>
        <w:adjustRightInd w:val="0"/>
        <w:snapToGrid w:val="0"/>
        <w:spacing w:line="360" w:lineRule="auto"/>
        <w:ind w:firstLine="480" w:firstLineChars="200"/>
        <w:rPr>
          <w:rFonts w:eastAsia="仿宋_GB2312"/>
          <w:color w:val="auto"/>
          <w:sz w:val="24"/>
        </w:rPr>
      </w:pPr>
      <w:r>
        <w:rPr>
          <w:rFonts w:eastAsia="仿宋_GB2312"/>
          <w:color w:val="auto"/>
          <w:sz w:val="24"/>
        </w:rPr>
        <w:t>3.素质要求</w:t>
      </w:r>
    </w:p>
    <w:p>
      <w:pPr>
        <w:adjustRightInd w:val="0"/>
        <w:snapToGrid w:val="0"/>
        <w:spacing w:line="360" w:lineRule="auto"/>
        <w:ind w:firstLine="480" w:firstLineChars="200"/>
        <w:rPr>
          <w:rFonts w:eastAsia="仿宋_GB2312"/>
          <w:color w:val="auto"/>
          <w:sz w:val="24"/>
        </w:rPr>
      </w:pPr>
      <w:r>
        <w:rPr>
          <w:rFonts w:eastAsia="仿宋_GB2312"/>
          <w:color w:val="auto"/>
          <w:sz w:val="24"/>
        </w:rPr>
        <w:t>（1）思想道德素质及文化素质：具有正确的政治方向，树立科学的世界观、正确的人生观和价值观，具有较强的集体荣誉感和团结协作的精神</w:t>
      </w:r>
      <w:r>
        <w:rPr>
          <w:rFonts w:hint="eastAsia" w:eastAsia="仿宋_GB2312"/>
          <w:color w:val="auto"/>
          <w:sz w:val="24"/>
        </w:rPr>
        <w:t>；</w:t>
      </w:r>
    </w:p>
    <w:p>
      <w:pPr>
        <w:adjustRightInd w:val="0"/>
        <w:snapToGrid w:val="0"/>
        <w:spacing w:line="360" w:lineRule="auto"/>
        <w:ind w:firstLine="480" w:firstLineChars="200"/>
        <w:rPr>
          <w:rFonts w:eastAsia="仿宋_GB2312"/>
          <w:color w:val="auto"/>
          <w:sz w:val="24"/>
        </w:rPr>
      </w:pPr>
      <w:r>
        <w:rPr>
          <w:rFonts w:eastAsia="仿宋_GB2312"/>
          <w:color w:val="auto"/>
          <w:sz w:val="24"/>
        </w:rPr>
        <w:t>（2）专业素质</w:t>
      </w:r>
    </w:p>
    <w:p>
      <w:pPr>
        <w:adjustRightInd w:val="0"/>
        <w:snapToGrid w:val="0"/>
        <w:spacing w:line="360" w:lineRule="auto"/>
        <w:ind w:firstLine="480" w:firstLineChars="200"/>
        <w:rPr>
          <w:rFonts w:eastAsia="仿宋_GB2312"/>
          <w:color w:val="auto"/>
          <w:sz w:val="24"/>
        </w:rPr>
      </w:pPr>
      <w:r>
        <w:rPr>
          <w:rFonts w:eastAsia="仿宋_GB2312"/>
          <w:color w:val="auto"/>
          <w:sz w:val="24"/>
        </w:rPr>
        <w:t>具有系统工程意识和综合分析素养，能够从工程造价角度分析工程设计与施工中的不足和缺陷，具有预防和处理与工程造价管理相关的重点难点和关键问题的素质；</w:t>
      </w:r>
    </w:p>
    <w:p>
      <w:pPr>
        <w:adjustRightInd w:val="0"/>
        <w:snapToGrid w:val="0"/>
        <w:spacing w:line="360" w:lineRule="auto"/>
        <w:ind w:firstLine="480" w:firstLineChars="200"/>
        <w:rPr>
          <w:rFonts w:eastAsia="仿宋_GB2312"/>
          <w:color w:val="auto"/>
          <w:sz w:val="24"/>
        </w:rPr>
      </w:pPr>
      <w:r>
        <w:rPr>
          <w:rFonts w:eastAsia="仿宋_GB2312"/>
          <w:color w:val="auto"/>
          <w:sz w:val="24"/>
        </w:rPr>
        <w:t>（3）创新素质</w:t>
      </w:r>
    </w:p>
    <w:p>
      <w:pPr>
        <w:adjustRightInd w:val="0"/>
        <w:snapToGrid w:val="0"/>
        <w:spacing w:line="360" w:lineRule="auto"/>
        <w:ind w:firstLine="480" w:firstLineChars="200"/>
        <w:rPr>
          <w:rFonts w:eastAsia="仿宋_GB2312"/>
          <w:color w:val="auto"/>
          <w:sz w:val="24"/>
        </w:rPr>
      </w:pPr>
      <w:r>
        <w:rPr>
          <w:rFonts w:eastAsia="仿宋_GB2312"/>
          <w:color w:val="auto"/>
          <w:sz w:val="24"/>
        </w:rPr>
        <w:t>具备创新意识与创新素质，能够发现、分析、提出新观点和新方法。</w:t>
      </w:r>
    </w:p>
    <w:p>
      <w:pPr>
        <w:adjustRightInd w:val="0"/>
        <w:snapToGrid w:val="0"/>
        <w:spacing w:line="360" w:lineRule="auto"/>
        <w:ind w:firstLine="482" w:firstLineChars="200"/>
        <w:rPr>
          <w:rFonts w:eastAsia="楷体_GB2312"/>
          <w:b/>
          <w:color w:val="auto"/>
          <w:sz w:val="24"/>
        </w:rPr>
      </w:pPr>
      <w:r>
        <w:rPr>
          <w:rFonts w:eastAsia="楷体_GB2312"/>
          <w:b/>
          <w:color w:val="auto"/>
          <w:sz w:val="24"/>
        </w:rPr>
        <w:t>（二）开设课程体系与培养要求的对应关系矩阵</w:t>
      </w:r>
    </w:p>
    <w:p>
      <w:pPr>
        <w:widowControl/>
        <w:adjustRightInd w:val="0"/>
        <w:snapToGrid w:val="0"/>
        <w:spacing w:after="120" w:afterLines="50" w:line="360" w:lineRule="auto"/>
        <w:jc w:val="center"/>
        <w:rPr>
          <w:rFonts w:ascii="黑体" w:hAnsi="黑体" w:eastAsia="黑体"/>
          <w:color w:val="auto"/>
          <w:sz w:val="28"/>
          <w:szCs w:val="28"/>
        </w:rPr>
      </w:pPr>
      <w:r>
        <w:rPr>
          <w:rFonts w:ascii="黑体" w:hAnsi="黑体" w:eastAsia="黑体"/>
          <w:color w:val="auto"/>
          <w:sz w:val="24"/>
        </w:rPr>
        <w:t>工程造价专业</w:t>
      </w:r>
      <w:r>
        <w:rPr>
          <w:rFonts w:hint="eastAsia" w:ascii="黑体" w:hAnsi="黑体" w:eastAsia="黑体"/>
          <w:color w:val="auto"/>
          <w:sz w:val="24"/>
        </w:rPr>
        <w:t>（3+2）</w:t>
      </w:r>
      <w:r>
        <w:rPr>
          <w:rFonts w:ascii="黑体" w:hAnsi="黑体" w:eastAsia="黑体"/>
          <w:color w:val="auto"/>
          <w:sz w:val="24"/>
        </w:rPr>
        <w:t>课程与毕业要求对应关系矩阵</w:t>
      </w:r>
    </w:p>
    <w:tbl>
      <w:tblPr>
        <w:tblStyle w:val="23"/>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1"/>
        <w:gridCol w:w="711"/>
        <w:gridCol w:w="711"/>
        <w:gridCol w:w="709"/>
        <w:gridCol w:w="709"/>
        <w:gridCol w:w="729"/>
        <w:gridCol w:w="672"/>
        <w:gridCol w:w="672"/>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Merge w:val="restart"/>
            <w:vAlign w:val="center"/>
          </w:tcPr>
          <w:p>
            <w:pPr>
              <w:spacing w:line="240" w:lineRule="exact"/>
              <w:jc w:val="center"/>
              <w:rPr>
                <w:rFonts w:eastAsia="仿宋_GB2312"/>
                <w:b/>
                <w:bCs/>
                <w:color w:val="auto"/>
                <w:sz w:val="18"/>
                <w:szCs w:val="18"/>
              </w:rPr>
            </w:pPr>
            <w:r>
              <w:rPr>
                <w:rFonts w:eastAsia="仿宋_GB2312"/>
                <w:b/>
                <w:bCs/>
                <w:color w:val="auto"/>
                <w:sz w:val="18"/>
                <w:szCs w:val="18"/>
              </w:rPr>
              <w:t>课程名称</w:t>
            </w:r>
          </w:p>
        </w:tc>
        <w:tc>
          <w:tcPr>
            <w:tcW w:w="2131" w:type="dxa"/>
            <w:gridSpan w:val="3"/>
            <w:vAlign w:val="center"/>
          </w:tcPr>
          <w:p>
            <w:pPr>
              <w:spacing w:line="240" w:lineRule="exact"/>
              <w:jc w:val="center"/>
              <w:rPr>
                <w:rFonts w:eastAsia="仿宋_GB2312"/>
                <w:b/>
                <w:bCs/>
                <w:color w:val="auto"/>
                <w:sz w:val="18"/>
                <w:szCs w:val="18"/>
              </w:rPr>
            </w:pPr>
            <w:r>
              <w:rPr>
                <w:rFonts w:eastAsia="仿宋_GB2312"/>
                <w:b/>
                <w:bCs/>
                <w:color w:val="auto"/>
                <w:sz w:val="18"/>
                <w:szCs w:val="18"/>
              </w:rPr>
              <w:t>知识要求</w:t>
            </w:r>
          </w:p>
        </w:tc>
        <w:tc>
          <w:tcPr>
            <w:tcW w:w="1438" w:type="dxa"/>
            <w:gridSpan w:val="2"/>
            <w:vAlign w:val="center"/>
          </w:tcPr>
          <w:p>
            <w:pPr>
              <w:spacing w:line="240" w:lineRule="exact"/>
              <w:jc w:val="center"/>
              <w:rPr>
                <w:rFonts w:eastAsia="仿宋_GB2312"/>
                <w:b/>
                <w:bCs/>
                <w:color w:val="auto"/>
                <w:sz w:val="18"/>
                <w:szCs w:val="18"/>
              </w:rPr>
            </w:pPr>
            <w:r>
              <w:rPr>
                <w:rFonts w:eastAsia="仿宋_GB2312"/>
                <w:b/>
                <w:bCs/>
                <w:color w:val="auto"/>
                <w:sz w:val="18"/>
                <w:szCs w:val="18"/>
              </w:rPr>
              <w:t>能力要求</w:t>
            </w:r>
          </w:p>
        </w:tc>
        <w:tc>
          <w:tcPr>
            <w:tcW w:w="2010" w:type="dxa"/>
            <w:gridSpan w:val="3"/>
            <w:vAlign w:val="center"/>
          </w:tcPr>
          <w:p>
            <w:pPr>
              <w:spacing w:line="240" w:lineRule="exact"/>
              <w:jc w:val="center"/>
              <w:rPr>
                <w:rFonts w:eastAsia="仿宋_GB2312"/>
                <w:b/>
                <w:bCs/>
                <w:color w:val="auto"/>
                <w:sz w:val="18"/>
                <w:szCs w:val="18"/>
              </w:rPr>
            </w:pPr>
            <w:r>
              <w:rPr>
                <w:rFonts w:eastAsia="仿宋_GB2312"/>
                <w:b/>
                <w:bCs/>
                <w:color w:val="auto"/>
                <w:sz w:val="18"/>
                <w:szCs w:val="18"/>
              </w:rPr>
              <w:t>素质要求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Merge w:val="continue"/>
            <w:vAlign w:val="center"/>
          </w:tcPr>
          <w:p>
            <w:pPr>
              <w:spacing w:line="240" w:lineRule="exact"/>
              <w:rPr>
                <w:rFonts w:eastAsia="仿宋_GB2312"/>
                <w:b/>
                <w:bCs/>
                <w:color w:val="auto"/>
                <w:sz w:val="18"/>
                <w:szCs w:val="18"/>
              </w:rPr>
            </w:pPr>
          </w:p>
        </w:tc>
        <w:tc>
          <w:tcPr>
            <w:tcW w:w="711"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毕业要求</w:t>
            </w:r>
          </w:p>
          <w:p>
            <w:pPr>
              <w:spacing w:line="240" w:lineRule="exact"/>
              <w:jc w:val="center"/>
              <w:rPr>
                <w:rFonts w:eastAsia="仿宋_GB2312"/>
                <w:b/>
                <w:bCs/>
                <w:color w:val="auto"/>
                <w:sz w:val="18"/>
                <w:szCs w:val="18"/>
              </w:rPr>
            </w:pPr>
            <w:r>
              <w:rPr>
                <w:rFonts w:eastAsia="仿宋_GB2312"/>
                <w:b/>
                <w:bCs/>
                <w:color w:val="auto"/>
                <w:sz w:val="18"/>
                <w:szCs w:val="18"/>
              </w:rPr>
              <w:t>1</w:t>
            </w:r>
          </w:p>
        </w:tc>
        <w:tc>
          <w:tcPr>
            <w:tcW w:w="711"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毕业要求 2</w:t>
            </w:r>
          </w:p>
        </w:tc>
        <w:tc>
          <w:tcPr>
            <w:tcW w:w="709"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毕业要求 3</w:t>
            </w:r>
          </w:p>
        </w:tc>
        <w:tc>
          <w:tcPr>
            <w:tcW w:w="709"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毕业</w:t>
            </w:r>
          </w:p>
          <w:p>
            <w:pPr>
              <w:spacing w:line="240" w:lineRule="exact"/>
              <w:jc w:val="center"/>
              <w:rPr>
                <w:rFonts w:eastAsia="仿宋_GB2312"/>
                <w:b/>
                <w:bCs/>
                <w:color w:val="auto"/>
                <w:sz w:val="18"/>
                <w:szCs w:val="18"/>
              </w:rPr>
            </w:pPr>
            <w:r>
              <w:rPr>
                <w:rFonts w:eastAsia="仿宋_GB2312"/>
                <w:b/>
                <w:bCs/>
                <w:color w:val="auto"/>
                <w:sz w:val="18"/>
                <w:szCs w:val="18"/>
              </w:rPr>
              <w:t>要求</w:t>
            </w:r>
          </w:p>
          <w:p>
            <w:pPr>
              <w:spacing w:line="240" w:lineRule="exact"/>
              <w:jc w:val="center"/>
              <w:rPr>
                <w:rFonts w:eastAsia="仿宋_GB2312"/>
                <w:b/>
                <w:bCs/>
                <w:color w:val="auto"/>
                <w:sz w:val="18"/>
                <w:szCs w:val="18"/>
              </w:rPr>
            </w:pPr>
            <w:r>
              <w:rPr>
                <w:rFonts w:eastAsia="仿宋_GB2312"/>
                <w:b/>
                <w:bCs/>
                <w:color w:val="auto"/>
                <w:sz w:val="18"/>
                <w:szCs w:val="18"/>
              </w:rPr>
              <w:t>1</w:t>
            </w:r>
          </w:p>
        </w:tc>
        <w:tc>
          <w:tcPr>
            <w:tcW w:w="729"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毕业</w:t>
            </w:r>
          </w:p>
          <w:p>
            <w:pPr>
              <w:spacing w:line="240" w:lineRule="exact"/>
              <w:jc w:val="center"/>
              <w:rPr>
                <w:rFonts w:eastAsia="仿宋_GB2312"/>
                <w:b/>
                <w:bCs/>
                <w:color w:val="auto"/>
                <w:sz w:val="18"/>
                <w:szCs w:val="18"/>
              </w:rPr>
            </w:pPr>
            <w:r>
              <w:rPr>
                <w:rFonts w:eastAsia="仿宋_GB2312"/>
                <w:b/>
                <w:bCs/>
                <w:color w:val="auto"/>
                <w:sz w:val="18"/>
                <w:szCs w:val="18"/>
              </w:rPr>
              <w:t>要求</w:t>
            </w:r>
          </w:p>
          <w:p>
            <w:pPr>
              <w:spacing w:line="240" w:lineRule="exact"/>
              <w:jc w:val="center"/>
              <w:rPr>
                <w:rFonts w:eastAsia="仿宋_GB2312"/>
                <w:b/>
                <w:bCs/>
                <w:color w:val="auto"/>
                <w:sz w:val="18"/>
                <w:szCs w:val="18"/>
              </w:rPr>
            </w:pPr>
            <w:r>
              <w:rPr>
                <w:rFonts w:eastAsia="仿宋_GB2312"/>
                <w:b/>
                <w:bCs/>
                <w:color w:val="auto"/>
                <w:sz w:val="18"/>
                <w:szCs w:val="18"/>
              </w:rPr>
              <w:t>2</w:t>
            </w:r>
          </w:p>
        </w:tc>
        <w:tc>
          <w:tcPr>
            <w:tcW w:w="672"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毕业要求1</w:t>
            </w:r>
          </w:p>
        </w:tc>
        <w:tc>
          <w:tcPr>
            <w:tcW w:w="672"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毕业要求 2</w:t>
            </w:r>
          </w:p>
        </w:tc>
        <w:tc>
          <w:tcPr>
            <w:tcW w:w="666"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毕业</w:t>
            </w:r>
          </w:p>
          <w:p>
            <w:pPr>
              <w:spacing w:line="240" w:lineRule="exact"/>
              <w:jc w:val="center"/>
              <w:rPr>
                <w:rFonts w:eastAsia="仿宋_GB2312"/>
                <w:b/>
                <w:bCs/>
                <w:color w:val="auto"/>
                <w:sz w:val="18"/>
                <w:szCs w:val="18"/>
              </w:rPr>
            </w:pPr>
            <w:r>
              <w:rPr>
                <w:rFonts w:eastAsia="仿宋_GB2312"/>
                <w:b/>
                <w:bCs/>
                <w:color w:val="auto"/>
                <w:sz w:val="18"/>
                <w:szCs w:val="18"/>
              </w:rPr>
              <w:t>要求</w:t>
            </w:r>
          </w:p>
          <w:p>
            <w:pPr>
              <w:spacing w:line="240" w:lineRule="exact"/>
              <w:jc w:val="center"/>
              <w:rPr>
                <w:rFonts w:eastAsia="仿宋_GB2312"/>
                <w:b/>
                <w:bCs/>
                <w:color w:val="auto"/>
                <w:sz w:val="18"/>
                <w:szCs w:val="18"/>
              </w:rPr>
            </w:pPr>
            <w:r>
              <w:rPr>
                <w:rFonts w:eastAsia="仿宋_GB2312"/>
                <w:b/>
                <w:bCs/>
                <w:color w:val="auto"/>
                <w:sz w:val="18"/>
                <w:szCs w:val="18"/>
              </w:rPr>
              <w:t xml:space="preser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eastAsia="仿宋_GB2312"/>
                <w:color w:val="auto"/>
                <w:sz w:val="18"/>
                <w:szCs w:val="18"/>
              </w:rPr>
              <w:t>大学生职业生涯规划</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72" w:type="dxa"/>
            <w:vAlign w:val="center"/>
          </w:tcPr>
          <w:p>
            <w:pPr>
              <w:spacing w:line="240" w:lineRule="exact"/>
              <w:jc w:val="center"/>
              <w:rPr>
                <w:rFonts w:eastAsia="仿宋_GB2312"/>
                <w:color w:val="auto"/>
                <w:sz w:val="18"/>
                <w:szCs w:val="18"/>
              </w:rPr>
            </w:pP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eastAsia="仿宋_GB2312"/>
                <w:color w:val="auto"/>
                <w:sz w:val="18"/>
                <w:szCs w:val="18"/>
              </w:rPr>
              <w:t>创业基础</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66" w:type="dxa"/>
            <w:vAlign w:val="center"/>
          </w:tcPr>
          <w:p>
            <w:pPr>
              <w:spacing w:line="240" w:lineRule="exact"/>
              <w:jc w:val="center"/>
              <w:rPr>
                <w:rFonts w:eastAsia="仿宋_GB2312"/>
                <w:color w:val="auto"/>
                <w:sz w:val="18"/>
                <w:szCs w:val="18"/>
              </w:rPr>
            </w:pPr>
            <w:r>
              <w:rPr>
                <w:rFonts w:eastAsia="仿宋_GB2312"/>
                <w:color w:val="auto"/>
                <w:sz w:val="18"/>
                <w:szCs w:val="18"/>
              </w:rPr>
              <w:t xml:space="preserve">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eastAsia="仿宋_GB2312"/>
                <w:color w:val="auto"/>
                <w:sz w:val="18"/>
                <w:szCs w:val="18"/>
              </w:rPr>
              <w:t>军事理论</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72" w:type="dxa"/>
            <w:vAlign w:val="center"/>
          </w:tcPr>
          <w:p>
            <w:pPr>
              <w:spacing w:line="240" w:lineRule="exact"/>
              <w:jc w:val="center"/>
              <w:rPr>
                <w:rFonts w:eastAsia="仿宋_GB2312"/>
                <w:color w:val="auto"/>
                <w:sz w:val="18"/>
                <w:szCs w:val="18"/>
              </w:rPr>
            </w:pP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eastAsia="仿宋_GB2312"/>
                <w:color w:val="auto"/>
                <w:sz w:val="18"/>
                <w:szCs w:val="18"/>
              </w:rPr>
              <w:t>工程造价专业概论</w:t>
            </w:r>
          </w:p>
        </w:tc>
        <w:tc>
          <w:tcPr>
            <w:tcW w:w="711" w:type="dxa"/>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建设法规A</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hint="eastAsia" w:eastAsia="仿宋_GB2312"/>
                <w:color w:val="auto"/>
                <w:sz w:val="18"/>
                <w:szCs w:val="18"/>
                <w:lang w:val="en-US" w:eastAsia="zh-CN"/>
              </w:rPr>
            </w:pPr>
            <w:r>
              <w:rPr>
                <w:rFonts w:eastAsia="仿宋_GB2312"/>
                <w:color w:val="auto"/>
                <w:sz w:val="18"/>
                <w:szCs w:val="18"/>
              </w:rPr>
              <w:t>经济法</w:t>
            </w:r>
            <w:r>
              <w:rPr>
                <w:rFonts w:hint="eastAsia" w:eastAsia="仿宋_GB2312"/>
                <w:color w:val="auto"/>
                <w:sz w:val="18"/>
                <w:szCs w:val="18"/>
                <w:lang w:val="en-US" w:eastAsia="zh-CN"/>
              </w:rPr>
              <w:t>B</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eastAsia="仿宋_GB2312"/>
                <w:color w:val="auto"/>
                <w:sz w:val="18"/>
                <w:szCs w:val="18"/>
              </w:rPr>
              <w:t>运筹学</w:t>
            </w:r>
          </w:p>
        </w:tc>
        <w:tc>
          <w:tcPr>
            <w:tcW w:w="711" w:type="dxa"/>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eastAsia="仿宋_GB2312"/>
                <w:color w:val="auto"/>
                <w:sz w:val="18"/>
                <w:szCs w:val="18"/>
              </w:rPr>
              <w:t>工程经济学</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hint="eastAsia" w:eastAsia="仿宋_GB2312"/>
                <w:color w:val="auto"/>
                <w:sz w:val="18"/>
                <w:szCs w:val="18"/>
                <w:lang w:eastAsia="zh-CN"/>
              </w:rPr>
              <w:t>工程招投标与合同管理B</w:t>
            </w:r>
          </w:p>
        </w:tc>
        <w:tc>
          <w:tcPr>
            <w:tcW w:w="711"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房地产估价A</w:t>
            </w:r>
          </w:p>
        </w:tc>
        <w:tc>
          <w:tcPr>
            <w:tcW w:w="711"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hint="eastAsia" w:eastAsia="仿宋_GB2312"/>
                <w:color w:val="auto"/>
                <w:sz w:val="18"/>
                <w:szCs w:val="18"/>
                <w:lang w:eastAsia="zh-CN"/>
              </w:rPr>
              <w:t>工程项目管理B</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eastAsia="仿宋_GB2312"/>
                <w:color w:val="auto"/>
                <w:sz w:val="18"/>
                <w:szCs w:val="18"/>
              </w:rPr>
              <w:t>工程造价管理</w:t>
            </w:r>
          </w:p>
        </w:tc>
        <w:tc>
          <w:tcPr>
            <w:tcW w:w="711"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eastAsia="仿宋_GB2312"/>
                <w:color w:val="auto"/>
                <w:sz w:val="18"/>
                <w:szCs w:val="18"/>
              </w:rPr>
              <w:t>入学教育、军训（含军事技能）</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72" w:type="dxa"/>
            <w:vAlign w:val="center"/>
          </w:tcPr>
          <w:p>
            <w:pPr>
              <w:spacing w:line="240" w:lineRule="exact"/>
              <w:jc w:val="center"/>
              <w:rPr>
                <w:rFonts w:eastAsia="仿宋_GB2312"/>
                <w:color w:val="auto"/>
                <w:sz w:val="18"/>
                <w:szCs w:val="18"/>
              </w:rPr>
            </w:pP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eastAsia="仿宋_GB2312"/>
                <w:color w:val="auto"/>
                <w:sz w:val="18"/>
                <w:szCs w:val="18"/>
              </w:rPr>
              <w:t>毕业教育</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72" w:type="dxa"/>
            <w:vAlign w:val="center"/>
          </w:tcPr>
          <w:p>
            <w:pPr>
              <w:spacing w:line="240" w:lineRule="exact"/>
              <w:jc w:val="center"/>
              <w:rPr>
                <w:rFonts w:eastAsia="仿宋_GB2312"/>
                <w:color w:val="auto"/>
                <w:sz w:val="18"/>
                <w:szCs w:val="18"/>
              </w:rPr>
            </w:pPr>
          </w:p>
        </w:tc>
        <w:tc>
          <w:tcPr>
            <w:tcW w:w="666" w:type="dxa"/>
            <w:vAlign w:val="center"/>
          </w:tcPr>
          <w:p>
            <w:pPr>
              <w:spacing w:line="240" w:lineRule="exact"/>
              <w:jc w:val="center"/>
              <w:rPr>
                <w:rFonts w:eastAsia="仿宋_GB2312"/>
                <w:color w:val="auto"/>
                <w:sz w:val="18"/>
                <w:szCs w:val="18"/>
              </w:rPr>
            </w:pPr>
            <w:r>
              <w:rPr>
                <w:rFonts w:eastAsia="仿宋_GB2312"/>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eastAsia="仿宋_GB2312"/>
                <w:color w:val="auto"/>
                <w:sz w:val="18"/>
                <w:szCs w:val="18"/>
              </w:rPr>
              <w:t>第二课堂实践</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66" w:type="dxa"/>
            <w:vAlign w:val="center"/>
          </w:tcPr>
          <w:p>
            <w:pPr>
              <w:spacing w:line="24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eastAsia="仿宋_GB2312"/>
                <w:color w:val="auto"/>
                <w:sz w:val="18"/>
                <w:szCs w:val="18"/>
              </w:rPr>
              <w:t>《创业基础》实践</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66" w:type="dxa"/>
            <w:vAlign w:val="center"/>
          </w:tcPr>
          <w:p>
            <w:pPr>
              <w:spacing w:line="24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eastAsia="仿宋_GB2312"/>
                <w:color w:val="auto"/>
                <w:sz w:val="18"/>
                <w:szCs w:val="18"/>
              </w:rPr>
              <w:t>工程经济学课程设计</w:t>
            </w:r>
          </w:p>
        </w:tc>
        <w:tc>
          <w:tcPr>
            <w:tcW w:w="711"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hint="eastAsia" w:eastAsia="仿宋_GB2312"/>
                <w:color w:val="auto"/>
                <w:sz w:val="18"/>
                <w:szCs w:val="18"/>
                <w:lang w:eastAsia="zh-CN"/>
              </w:rPr>
              <w:t>工程招投标与合同管理B</w:t>
            </w:r>
            <w:r>
              <w:rPr>
                <w:rFonts w:eastAsia="仿宋_GB2312"/>
                <w:color w:val="auto"/>
                <w:sz w:val="18"/>
                <w:szCs w:val="18"/>
              </w:rPr>
              <w:t>课程设计</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hint="eastAsia" w:eastAsia="仿宋_GB2312"/>
                <w:color w:val="auto"/>
                <w:sz w:val="18"/>
                <w:szCs w:val="18"/>
                <w:lang w:eastAsia="zh-CN"/>
              </w:rPr>
              <w:t>工程项目管理B</w:t>
            </w:r>
            <w:r>
              <w:rPr>
                <w:rFonts w:eastAsia="仿宋_GB2312"/>
                <w:color w:val="auto"/>
                <w:sz w:val="18"/>
                <w:szCs w:val="18"/>
              </w:rPr>
              <w:t>课程设计</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eastAsia="仿宋_GB2312"/>
                <w:color w:val="auto"/>
                <w:sz w:val="18"/>
                <w:szCs w:val="18"/>
              </w:rPr>
              <w:t>大学生就业指导</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p>
        </w:tc>
        <w:tc>
          <w:tcPr>
            <w:tcW w:w="666" w:type="dxa"/>
            <w:vAlign w:val="center"/>
          </w:tcPr>
          <w:p>
            <w:pPr>
              <w:spacing w:line="240" w:lineRule="exact"/>
              <w:jc w:val="center"/>
              <w:rPr>
                <w:rFonts w:eastAsia="仿宋_GB2312"/>
                <w:color w:val="auto"/>
                <w:sz w:val="18"/>
                <w:szCs w:val="18"/>
              </w:rPr>
            </w:pPr>
            <w:r>
              <w:rPr>
                <w:rFonts w:eastAsia="仿宋_GB2312"/>
                <w:color w:val="auto"/>
                <w:sz w:val="18"/>
                <w:szCs w:val="18"/>
              </w:rPr>
              <w:t xml:space="preserve">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eastAsia="仿宋_GB2312"/>
                <w:color w:val="auto"/>
                <w:sz w:val="18"/>
                <w:szCs w:val="18"/>
              </w:rPr>
              <w:t>工程造价管理业务实践</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66" w:type="dxa"/>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1" w:type="dxa"/>
            <w:vAlign w:val="center"/>
          </w:tcPr>
          <w:p>
            <w:pPr>
              <w:spacing w:line="240" w:lineRule="exact"/>
              <w:rPr>
                <w:rFonts w:eastAsia="仿宋_GB2312"/>
                <w:color w:val="auto"/>
                <w:sz w:val="18"/>
                <w:szCs w:val="18"/>
              </w:rPr>
            </w:pPr>
            <w:r>
              <w:rPr>
                <w:rFonts w:eastAsia="仿宋_GB2312"/>
                <w:color w:val="auto"/>
                <w:sz w:val="18"/>
                <w:szCs w:val="18"/>
              </w:rPr>
              <w:t>工程造价专业（3+2）毕业论文（设计）</w:t>
            </w:r>
          </w:p>
        </w:tc>
        <w:tc>
          <w:tcPr>
            <w:tcW w:w="711" w:type="dxa"/>
            <w:vAlign w:val="center"/>
          </w:tcPr>
          <w:p>
            <w:pPr>
              <w:spacing w:line="240" w:lineRule="exact"/>
              <w:jc w:val="center"/>
              <w:rPr>
                <w:rFonts w:eastAsia="仿宋_GB2312"/>
                <w:color w:val="auto"/>
                <w:sz w:val="18"/>
                <w:szCs w:val="18"/>
              </w:rPr>
            </w:pPr>
          </w:p>
        </w:tc>
        <w:tc>
          <w:tcPr>
            <w:tcW w:w="711" w:type="dxa"/>
            <w:vAlign w:val="center"/>
          </w:tcPr>
          <w:p>
            <w:pPr>
              <w:spacing w:line="240" w:lineRule="exact"/>
              <w:jc w:val="center"/>
              <w:rPr>
                <w:rFonts w:eastAsia="仿宋_GB2312"/>
                <w:color w:val="auto"/>
                <w:sz w:val="18"/>
                <w:szCs w:val="18"/>
              </w:rPr>
            </w:pP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709" w:type="dxa"/>
            <w:vAlign w:val="center"/>
          </w:tcPr>
          <w:p>
            <w:pPr>
              <w:spacing w:line="240" w:lineRule="exact"/>
              <w:jc w:val="center"/>
              <w:rPr>
                <w:rFonts w:eastAsia="仿宋_GB2312"/>
                <w:color w:val="auto"/>
                <w:sz w:val="18"/>
                <w:szCs w:val="18"/>
              </w:rPr>
            </w:pPr>
          </w:p>
        </w:tc>
        <w:tc>
          <w:tcPr>
            <w:tcW w:w="729"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72" w:type="dxa"/>
            <w:vAlign w:val="center"/>
          </w:tcPr>
          <w:p>
            <w:pPr>
              <w:spacing w:line="240" w:lineRule="exact"/>
              <w:jc w:val="center"/>
              <w:rPr>
                <w:rFonts w:eastAsia="仿宋_GB2312"/>
                <w:color w:val="auto"/>
                <w:sz w:val="18"/>
                <w:szCs w:val="18"/>
              </w:rPr>
            </w:pPr>
          </w:p>
        </w:tc>
        <w:tc>
          <w:tcPr>
            <w:tcW w:w="672"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666" w:type="dxa"/>
            <w:vAlign w:val="center"/>
          </w:tcPr>
          <w:p>
            <w:pPr>
              <w:spacing w:line="240" w:lineRule="exact"/>
              <w:jc w:val="center"/>
              <w:rPr>
                <w:rFonts w:eastAsia="仿宋_GB2312"/>
                <w:color w:val="auto"/>
                <w:sz w:val="18"/>
                <w:szCs w:val="18"/>
              </w:rPr>
            </w:pPr>
          </w:p>
        </w:tc>
      </w:tr>
    </w:tbl>
    <w:p>
      <w:pPr>
        <w:adjustRightInd w:val="0"/>
        <w:snapToGrid w:val="0"/>
        <w:spacing w:before="240" w:beforeLines="100" w:line="500" w:lineRule="exact"/>
        <w:ind w:firstLine="560" w:firstLineChars="200"/>
        <w:rPr>
          <w:rFonts w:eastAsia="黑体"/>
          <w:bCs/>
          <w:color w:val="auto"/>
          <w:sz w:val="28"/>
          <w:szCs w:val="28"/>
        </w:rPr>
      </w:pPr>
      <w:r>
        <w:rPr>
          <w:rFonts w:eastAsia="黑体"/>
          <w:bCs/>
          <w:color w:val="auto"/>
          <w:sz w:val="28"/>
          <w:szCs w:val="28"/>
        </w:rPr>
        <w:t>四、课程设置</w:t>
      </w:r>
    </w:p>
    <w:p>
      <w:pPr>
        <w:adjustRightInd w:val="0"/>
        <w:snapToGrid w:val="0"/>
        <w:spacing w:line="500" w:lineRule="exact"/>
        <w:ind w:firstLine="482" w:firstLineChars="200"/>
        <w:rPr>
          <w:rFonts w:eastAsia="仿宋_GB2312"/>
          <w:b/>
          <w:color w:val="auto"/>
          <w:sz w:val="24"/>
        </w:rPr>
      </w:pPr>
      <w:r>
        <w:rPr>
          <w:rFonts w:eastAsia="仿宋_GB2312"/>
          <w:b/>
          <w:color w:val="auto"/>
          <w:sz w:val="24"/>
        </w:rPr>
        <w:t>（一）主干学科</w:t>
      </w:r>
    </w:p>
    <w:p>
      <w:pPr>
        <w:adjustRightInd w:val="0"/>
        <w:snapToGrid w:val="0"/>
        <w:spacing w:line="500" w:lineRule="exact"/>
        <w:ind w:firstLine="480" w:firstLineChars="200"/>
        <w:rPr>
          <w:rFonts w:eastAsia="仿宋_GB2312"/>
          <w:color w:val="auto"/>
          <w:sz w:val="24"/>
        </w:rPr>
      </w:pPr>
      <w:r>
        <w:rPr>
          <w:rFonts w:eastAsia="仿宋_GB2312"/>
          <w:color w:val="auto"/>
          <w:sz w:val="24"/>
        </w:rPr>
        <w:t>管理科学与工程、土木工程</w:t>
      </w:r>
    </w:p>
    <w:p>
      <w:pPr>
        <w:adjustRightInd w:val="0"/>
        <w:snapToGrid w:val="0"/>
        <w:spacing w:line="500" w:lineRule="exact"/>
        <w:ind w:firstLine="480" w:firstLineChars="200"/>
        <w:rPr>
          <w:rFonts w:eastAsia="仿宋_GB2312"/>
          <w:color w:val="auto"/>
          <w:sz w:val="24"/>
        </w:rPr>
      </w:pPr>
      <w:r>
        <w:rPr>
          <w:rFonts w:eastAsia="仿宋_GB2312"/>
          <w:color w:val="auto"/>
          <w:sz w:val="24"/>
        </w:rPr>
        <w:t>核心课程：工程经济学、</w:t>
      </w:r>
      <w:r>
        <w:rPr>
          <w:rFonts w:hint="eastAsia" w:eastAsia="仿宋_GB2312"/>
          <w:color w:val="auto"/>
          <w:sz w:val="24"/>
          <w:lang w:eastAsia="zh-CN"/>
        </w:rPr>
        <w:t>工程项目管理B</w:t>
      </w:r>
      <w:r>
        <w:rPr>
          <w:rFonts w:eastAsia="仿宋_GB2312"/>
          <w:color w:val="auto"/>
          <w:sz w:val="24"/>
        </w:rPr>
        <w:t>、</w:t>
      </w:r>
      <w:r>
        <w:rPr>
          <w:rFonts w:hint="eastAsia" w:eastAsia="仿宋_GB2312"/>
          <w:color w:val="auto"/>
          <w:sz w:val="24"/>
          <w:lang w:eastAsia="zh-CN"/>
        </w:rPr>
        <w:t>工程招投标与合同管理B</w:t>
      </w:r>
      <w:r>
        <w:rPr>
          <w:rFonts w:eastAsia="仿宋_GB2312"/>
          <w:color w:val="auto"/>
          <w:sz w:val="24"/>
        </w:rPr>
        <w:t>、工程造价管理</w:t>
      </w:r>
    </w:p>
    <w:p>
      <w:pPr>
        <w:adjustRightInd w:val="0"/>
        <w:snapToGrid w:val="0"/>
        <w:spacing w:line="500" w:lineRule="exact"/>
        <w:ind w:firstLine="480" w:firstLineChars="200"/>
        <w:rPr>
          <w:rFonts w:eastAsia="仿宋_GB2312"/>
          <w:color w:val="auto"/>
          <w:sz w:val="24"/>
        </w:rPr>
      </w:pPr>
      <w:r>
        <w:rPr>
          <w:rFonts w:eastAsia="仿宋_GB2312"/>
          <w:color w:val="auto"/>
          <w:sz w:val="24"/>
        </w:rPr>
        <w:t>主要实践性教学环节：工程经济学课程设计、</w:t>
      </w:r>
      <w:r>
        <w:rPr>
          <w:rFonts w:hint="eastAsia" w:eastAsia="仿宋_GB2312"/>
          <w:color w:val="auto"/>
          <w:sz w:val="24"/>
          <w:lang w:eastAsia="zh-CN"/>
        </w:rPr>
        <w:t>工程招投标与合同管理B</w:t>
      </w:r>
      <w:r>
        <w:rPr>
          <w:rFonts w:eastAsia="仿宋_GB2312"/>
          <w:color w:val="auto"/>
          <w:sz w:val="24"/>
        </w:rPr>
        <w:t>课程设计、项目管理</w:t>
      </w:r>
      <w:r>
        <w:rPr>
          <w:rFonts w:hint="eastAsia" w:ascii="宋体" w:hAnsi="宋体" w:cs="宋体"/>
          <w:color w:val="auto"/>
          <w:sz w:val="24"/>
        </w:rPr>
        <w:t>Ⅱ</w:t>
      </w:r>
      <w:r>
        <w:rPr>
          <w:rFonts w:eastAsia="仿宋_GB2312"/>
          <w:color w:val="auto"/>
          <w:sz w:val="24"/>
        </w:rPr>
        <w:t>课程设计、工程造价管理业务实践</w:t>
      </w:r>
    </w:p>
    <w:p>
      <w:pPr>
        <w:numPr>
          <w:ilvl w:val="0"/>
          <w:numId w:val="1"/>
        </w:numPr>
        <w:adjustRightInd w:val="0"/>
        <w:snapToGrid w:val="0"/>
        <w:spacing w:after="240" w:afterLines="100" w:line="500" w:lineRule="exact"/>
        <w:ind w:firstLine="482" w:firstLineChars="200"/>
        <w:rPr>
          <w:rFonts w:eastAsiaTheme="minorEastAsia"/>
          <w:b/>
          <w:color w:val="auto"/>
          <w:sz w:val="28"/>
          <w:szCs w:val="28"/>
        </w:rPr>
      </w:pPr>
      <w:r>
        <w:rPr>
          <w:rFonts w:eastAsia="仿宋_GB2312"/>
          <w:b/>
          <w:color w:val="auto"/>
          <w:sz w:val="24"/>
        </w:rPr>
        <w:t>课程体系及所占比例</w:t>
      </w:r>
    </w:p>
    <w:tbl>
      <w:tblPr>
        <w:tblStyle w:val="23"/>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1"/>
        <w:gridCol w:w="1552"/>
        <w:gridCol w:w="2354"/>
        <w:gridCol w:w="724"/>
        <w:gridCol w:w="2409"/>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11" w:type="dxa"/>
            <w:gridSpan w:val="4"/>
            <w:vAlign w:val="center"/>
          </w:tcPr>
          <w:p>
            <w:pPr>
              <w:adjustRightInd w:val="0"/>
              <w:snapToGrid w:val="0"/>
              <w:jc w:val="center"/>
              <w:textAlignment w:val="center"/>
              <w:rPr>
                <w:rFonts w:eastAsia="仿宋_GB2312"/>
                <w:b/>
                <w:color w:val="auto"/>
                <w:szCs w:val="21"/>
              </w:rPr>
            </w:pPr>
            <w:r>
              <w:rPr>
                <w:rFonts w:eastAsia="仿宋_GB2312"/>
                <w:b/>
                <w:color w:val="auto"/>
                <w:szCs w:val="21"/>
              </w:rPr>
              <w:t>课程设置及学分分配</w:t>
            </w:r>
          </w:p>
        </w:tc>
        <w:tc>
          <w:tcPr>
            <w:tcW w:w="2409" w:type="dxa"/>
            <w:vAlign w:val="center"/>
          </w:tcPr>
          <w:p>
            <w:pPr>
              <w:adjustRightInd w:val="0"/>
              <w:snapToGrid w:val="0"/>
              <w:jc w:val="center"/>
              <w:textAlignment w:val="center"/>
              <w:rPr>
                <w:rFonts w:eastAsia="仿宋_GB2312"/>
                <w:b/>
                <w:color w:val="auto"/>
                <w:szCs w:val="21"/>
              </w:rPr>
            </w:pPr>
            <w:r>
              <w:rPr>
                <w:rFonts w:eastAsia="仿宋_GB2312"/>
                <w:b/>
                <w:color w:val="auto"/>
                <w:szCs w:val="21"/>
              </w:rPr>
              <w:t>占课内教学学分比例</w:t>
            </w:r>
          </w:p>
        </w:tc>
        <w:tc>
          <w:tcPr>
            <w:tcW w:w="1610" w:type="dxa"/>
            <w:vAlign w:val="center"/>
          </w:tcPr>
          <w:p>
            <w:pPr>
              <w:adjustRightInd w:val="0"/>
              <w:snapToGrid w:val="0"/>
              <w:jc w:val="center"/>
              <w:textAlignment w:val="center"/>
              <w:rPr>
                <w:rFonts w:eastAsia="仿宋_GB2312"/>
                <w:b/>
                <w:color w:val="auto"/>
                <w:szCs w:val="21"/>
              </w:rPr>
            </w:pPr>
            <w:r>
              <w:rPr>
                <w:rFonts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81" w:type="dxa"/>
            <w:vMerge w:val="restart"/>
            <w:textDirection w:val="tbRlV"/>
            <w:vAlign w:val="center"/>
          </w:tcPr>
          <w:p>
            <w:pPr>
              <w:adjustRightInd w:val="0"/>
              <w:snapToGrid w:val="0"/>
              <w:jc w:val="center"/>
              <w:textAlignment w:val="center"/>
              <w:rPr>
                <w:rFonts w:eastAsia="仿宋_GB2312"/>
                <w:b/>
                <w:color w:val="auto"/>
                <w:szCs w:val="21"/>
              </w:rPr>
            </w:pPr>
            <w:r>
              <w:rPr>
                <w:rFonts w:eastAsia="仿宋_GB2312"/>
                <w:b/>
                <w:color w:val="auto"/>
                <w:szCs w:val="21"/>
              </w:rPr>
              <w:t>课内教学</w:t>
            </w:r>
          </w:p>
        </w:tc>
        <w:tc>
          <w:tcPr>
            <w:tcW w:w="1552" w:type="dxa"/>
            <w:vMerge w:val="restart"/>
            <w:vAlign w:val="center"/>
          </w:tcPr>
          <w:p>
            <w:pPr>
              <w:adjustRightInd w:val="0"/>
              <w:snapToGrid w:val="0"/>
              <w:jc w:val="center"/>
              <w:textAlignment w:val="center"/>
              <w:rPr>
                <w:rFonts w:eastAsia="仿宋_GB2312"/>
                <w:bCs/>
                <w:color w:val="auto"/>
                <w:szCs w:val="21"/>
              </w:rPr>
            </w:pPr>
            <w:r>
              <w:rPr>
                <w:rFonts w:eastAsia="仿宋_GB2312"/>
                <w:bCs/>
                <w:color w:val="auto"/>
                <w:szCs w:val="21"/>
              </w:rPr>
              <w:t>必修课</w:t>
            </w:r>
          </w:p>
          <w:p>
            <w:pPr>
              <w:adjustRightInd w:val="0"/>
              <w:snapToGrid w:val="0"/>
              <w:jc w:val="center"/>
              <w:textAlignment w:val="center"/>
              <w:rPr>
                <w:rFonts w:eastAsia="仿宋_GB2312"/>
                <w:bCs/>
                <w:color w:val="auto"/>
                <w:szCs w:val="21"/>
              </w:rPr>
            </w:pPr>
            <w:r>
              <w:rPr>
                <w:rFonts w:eastAsia="仿宋_GB2312"/>
                <w:bCs/>
                <w:color w:val="auto"/>
                <w:szCs w:val="21"/>
              </w:rPr>
              <w:t>（23.0学分）</w:t>
            </w:r>
          </w:p>
        </w:tc>
        <w:tc>
          <w:tcPr>
            <w:tcW w:w="2354"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通识课程</w:t>
            </w:r>
          </w:p>
        </w:tc>
        <w:tc>
          <w:tcPr>
            <w:tcW w:w="724"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4.0</w:t>
            </w:r>
          </w:p>
        </w:tc>
        <w:tc>
          <w:tcPr>
            <w:tcW w:w="2409"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8.16%</w:t>
            </w:r>
          </w:p>
        </w:tc>
        <w:tc>
          <w:tcPr>
            <w:tcW w:w="1610" w:type="dxa"/>
            <w:vMerge w:val="restart"/>
            <w:vAlign w:val="center"/>
          </w:tcPr>
          <w:p>
            <w:pPr>
              <w:adjustRightInd w:val="0"/>
              <w:snapToGrid w:val="0"/>
              <w:jc w:val="center"/>
              <w:textAlignment w:val="center"/>
              <w:rPr>
                <w:rFonts w:eastAsia="仿宋_GB2312"/>
                <w:bCs/>
                <w:color w:val="auto"/>
                <w:szCs w:val="21"/>
              </w:rPr>
            </w:pPr>
            <w:r>
              <w:rPr>
                <w:rFonts w:eastAsia="仿宋_GB2312"/>
                <w:bCs/>
                <w:color w:val="auto"/>
                <w:szCs w:val="21"/>
              </w:rPr>
              <w:t>29.87%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81" w:type="dxa"/>
            <w:vMerge w:val="continue"/>
            <w:vAlign w:val="center"/>
          </w:tcPr>
          <w:p>
            <w:pPr>
              <w:adjustRightInd w:val="0"/>
              <w:snapToGrid w:val="0"/>
              <w:jc w:val="center"/>
              <w:textAlignment w:val="center"/>
              <w:rPr>
                <w:rFonts w:eastAsia="仿宋_GB2312"/>
                <w:b/>
                <w:color w:val="auto"/>
                <w:szCs w:val="21"/>
              </w:rPr>
            </w:pPr>
          </w:p>
        </w:tc>
        <w:tc>
          <w:tcPr>
            <w:tcW w:w="1552" w:type="dxa"/>
            <w:vMerge w:val="continue"/>
            <w:vAlign w:val="center"/>
          </w:tcPr>
          <w:p>
            <w:pPr>
              <w:adjustRightInd w:val="0"/>
              <w:snapToGrid w:val="0"/>
              <w:jc w:val="center"/>
              <w:textAlignment w:val="center"/>
              <w:rPr>
                <w:rFonts w:eastAsia="仿宋_GB2312"/>
                <w:bCs/>
                <w:color w:val="auto"/>
                <w:szCs w:val="21"/>
              </w:rPr>
            </w:pPr>
          </w:p>
        </w:tc>
        <w:tc>
          <w:tcPr>
            <w:tcW w:w="2354"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学科（专业）基础课程</w:t>
            </w:r>
          </w:p>
        </w:tc>
        <w:tc>
          <w:tcPr>
            <w:tcW w:w="724"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7.0</w:t>
            </w:r>
          </w:p>
        </w:tc>
        <w:tc>
          <w:tcPr>
            <w:tcW w:w="2409"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14.29%</w:t>
            </w:r>
          </w:p>
        </w:tc>
        <w:tc>
          <w:tcPr>
            <w:tcW w:w="1610" w:type="dxa"/>
            <w:vMerge w:val="continue"/>
            <w:vAlign w:val="center"/>
          </w:tcPr>
          <w:p>
            <w:pPr>
              <w:adjustRightInd w:val="0"/>
              <w:snapToGrid w:val="0"/>
              <w:jc w:val="center"/>
              <w:textAlignment w:val="center"/>
              <w:rPr>
                <w:rFonts w:eastAsia="仿宋_GB2312"/>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81" w:type="dxa"/>
            <w:vMerge w:val="continue"/>
            <w:vAlign w:val="center"/>
          </w:tcPr>
          <w:p>
            <w:pPr>
              <w:adjustRightInd w:val="0"/>
              <w:snapToGrid w:val="0"/>
              <w:jc w:val="center"/>
              <w:textAlignment w:val="center"/>
              <w:rPr>
                <w:rFonts w:eastAsia="仿宋_GB2312"/>
                <w:b/>
                <w:color w:val="auto"/>
                <w:szCs w:val="21"/>
              </w:rPr>
            </w:pPr>
          </w:p>
        </w:tc>
        <w:tc>
          <w:tcPr>
            <w:tcW w:w="1552" w:type="dxa"/>
            <w:vMerge w:val="continue"/>
            <w:vAlign w:val="center"/>
          </w:tcPr>
          <w:p>
            <w:pPr>
              <w:adjustRightInd w:val="0"/>
              <w:snapToGrid w:val="0"/>
              <w:jc w:val="center"/>
              <w:textAlignment w:val="center"/>
              <w:rPr>
                <w:rFonts w:eastAsia="仿宋_GB2312"/>
                <w:bCs/>
                <w:color w:val="auto"/>
                <w:szCs w:val="21"/>
              </w:rPr>
            </w:pPr>
          </w:p>
        </w:tc>
        <w:tc>
          <w:tcPr>
            <w:tcW w:w="2354"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专业课程</w:t>
            </w:r>
          </w:p>
        </w:tc>
        <w:tc>
          <w:tcPr>
            <w:tcW w:w="724"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12.0</w:t>
            </w:r>
          </w:p>
        </w:tc>
        <w:tc>
          <w:tcPr>
            <w:tcW w:w="2409"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24.49%</w:t>
            </w:r>
          </w:p>
        </w:tc>
        <w:tc>
          <w:tcPr>
            <w:tcW w:w="1610" w:type="dxa"/>
            <w:vMerge w:val="continue"/>
            <w:vAlign w:val="center"/>
          </w:tcPr>
          <w:p>
            <w:pPr>
              <w:adjustRightInd w:val="0"/>
              <w:snapToGrid w:val="0"/>
              <w:jc w:val="center"/>
              <w:textAlignment w:val="center"/>
              <w:rPr>
                <w:rFonts w:eastAsia="仿宋_GB2312"/>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81" w:type="dxa"/>
            <w:vMerge w:val="continue"/>
            <w:vAlign w:val="center"/>
          </w:tcPr>
          <w:p>
            <w:pPr>
              <w:adjustRightInd w:val="0"/>
              <w:snapToGrid w:val="0"/>
              <w:jc w:val="center"/>
              <w:textAlignment w:val="center"/>
              <w:rPr>
                <w:rFonts w:eastAsia="仿宋_GB2312"/>
                <w:b/>
                <w:color w:val="auto"/>
                <w:szCs w:val="21"/>
              </w:rPr>
            </w:pPr>
          </w:p>
        </w:tc>
        <w:tc>
          <w:tcPr>
            <w:tcW w:w="1552" w:type="dxa"/>
            <w:vMerge w:val="restart"/>
            <w:vAlign w:val="center"/>
          </w:tcPr>
          <w:p>
            <w:pPr>
              <w:adjustRightInd w:val="0"/>
              <w:snapToGrid w:val="0"/>
              <w:jc w:val="center"/>
              <w:textAlignment w:val="center"/>
              <w:rPr>
                <w:rFonts w:eastAsia="仿宋_GB2312"/>
                <w:bCs/>
                <w:color w:val="auto"/>
                <w:szCs w:val="21"/>
              </w:rPr>
            </w:pPr>
            <w:r>
              <w:rPr>
                <w:rFonts w:eastAsia="仿宋_GB2312"/>
                <w:bCs/>
                <w:color w:val="auto"/>
                <w:szCs w:val="21"/>
              </w:rPr>
              <w:t>选修课</w:t>
            </w:r>
          </w:p>
          <w:p>
            <w:pPr>
              <w:adjustRightInd w:val="0"/>
              <w:snapToGrid w:val="0"/>
              <w:jc w:val="center"/>
              <w:textAlignment w:val="center"/>
              <w:rPr>
                <w:rFonts w:eastAsia="仿宋_GB2312"/>
                <w:bCs/>
                <w:color w:val="auto"/>
                <w:szCs w:val="21"/>
              </w:rPr>
            </w:pPr>
            <w:r>
              <w:rPr>
                <w:rFonts w:eastAsia="仿宋_GB2312"/>
                <w:bCs/>
                <w:color w:val="auto"/>
                <w:szCs w:val="21"/>
              </w:rPr>
              <w:t>（28.0学分）</w:t>
            </w:r>
          </w:p>
        </w:tc>
        <w:tc>
          <w:tcPr>
            <w:tcW w:w="2354"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通识选修课程</w:t>
            </w:r>
          </w:p>
        </w:tc>
        <w:tc>
          <w:tcPr>
            <w:tcW w:w="724"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4.0</w:t>
            </w:r>
          </w:p>
        </w:tc>
        <w:tc>
          <w:tcPr>
            <w:tcW w:w="2409"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8.16%</w:t>
            </w:r>
          </w:p>
        </w:tc>
        <w:tc>
          <w:tcPr>
            <w:tcW w:w="1610" w:type="dxa"/>
            <w:vMerge w:val="restart"/>
            <w:vAlign w:val="center"/>
          </w:tcPr>
          <w:p>
            <w:pPr>
              <w:adjustRightInd w:val="0"/>
              <w:snapToGrid w:val="0"/>
              <w:jc w:val="center"/>
              <w:textAlignment w:val="center"/>
              <w:rPr>
                <w:rFonts w:eastAsia="仿宋_GB2312"/>
                <w:bCs/>
                <w:color w:val="auto"/>
                <w:szCs w:val="21"/>
              </w:rPr>
            </w:pPr>
            <w:r>
              <w:rPr>
                <w:rFonts w:eastAsia="仿宋_GB2312"/>
                <w:bCs/>
                <w:color w:val="auto"/>
                <w:szCs w:val="21"/>
              </w:rPr>
              <w:t>33.77%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81" w:type="dxa"/>
            <w:vMerge w:val="continue"/>
            <w:vAlign w:val="center"/>
          </w:tcPr>
          <w:p>
            <w:pPr>
              <w:adjustRightInd w:val="0"/>
              <w:snapToGrid w:val="0"/>
              <w:jc w:val="center"/>
              <w:textAlignment w:val="center"/>
              <w:rPr>
                <w:rFonts w:eastAsia="仿宋_GB2312"/>
                <w:b/>
                <w:color w:val="auto"/>
                <w:szCs w:val="21"/>
              </w:rPr>
            </w:pPr>
          </w:p>
        </w:tc>
        <w:tc>
          <w:tcPr>
            <w:tcW w:w="1552" w:type="dxa"/>
            <w:vMerge w:val="continue"/>
            <w:vAlign w:val="center"/>
          </w:tcPr>
          <w:p>
            <w:pPr>
              <w:adjustRightInd w:val="0"/>
              <w:snapToGrid w:val="0"/>
              <w:jc w:val="center"/>
              <w:textAlignment w:val="center"/>
              <w:rPr>
                <w:rFonts w:eastAsia="仿宋_GB2312"/>
                <w:b/>
                <w:color w:val="auto"/>
                <w:szCs w:val="21"/>
              </w:rPr>
            </w:pPr>
          </w:p>
        </w:tc>
        <w:tc>
          <w:tcPr>
            <w:tcW w:w="2354"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专业拓展课程</w:t>
            </w:r>
          </w:p>
        </w:tc>
        <w:tc>
          <w:tcPr>
            <w:tcW w:w="724"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22.0</w:t>
            </w:r>
          </w:p>
        </w:tc>
        <w:tc>
          <w:tcPr>
            <w:tcW w:w="2409"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44.90%</w:t>
            </w:r>
          </w:p>
        </w:tc>
        <w:tc>
          <w:tcPr>
            <w:tcW w:w="1610" w:type="dxa"/>
            <w:vMerge w:val="continue"/>
            <w:vAlign w:val="center"/>
          </w:tcPr>
          <w:p>
            <w:pPr>
              <w:adjustRightInd w:val="0"/>
              <w:snapToGrid w:val="0"/>
              <w:jc w:val="center"/>
              <w:textAlignment w:val="center"/>
              <w:rPr>
                <w:rFonts w:eastAsia="仿宋_GB2312"/>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87" w:type="dxa"/>
            <w:gridSpan w:val="3"/>
            <w:vAlign w:val="center"/>
          </w:tcPr>
          <w:p>
            <w:pPr>
              <w:adjustRightInd w:val="0"/>
              <w:snapToGrid w:val="0"/>
              <w:jc w:val="center"/>
              <w:textAlignment w:val="center"/>
              <w:rPr>
                <w:rFonts w:eastAsia="仿宋_GB2312"/>
                <w:b/>
                <w:color w:val="auto"/>
                <w:szCs w:val="21"/>
              </w:rPr>
            </w:pPr>
            <w:r>
              <w:rPr>
                <w:rFonts w:eastAsia="仿宋_GB2312"/>
                <w:b/>
                <w:color w:val="auto"/>
                <w:szCs w:val="21"/>
              </w:rPr>
              <w:t>实践教学</w:t>
            </w:r>
          </w:p>
        </w:tc>
        <w:tc>
          <w:tcPr>
            <w:tcW w:w="724" w:type="dxa"/>
            <w:vAlign w:val="center"/>
          </w:tcPr>
          <w:p>
            <w:pPr>
              <w:adjustRightInd w:val="0"/>
              <w:snapToGrid w:val="0"/>
              <w:jc w:val="center"/>
              <w:textAlignment w:val="center"/>
              <w:rPr>
                <w:rFonts w:eastAsia="仿宋_GB2312"/>
                <w:bCs/>
                <w:color w:val="auto"/>
                <w:szCs w:val="21"/>
              </w:rPr>
            </w:pPr>
            <w:r>
              <w:rPr>
                <w:rFonts w:eastAsia="仿宋_GB2312"/>
                <w:bCs/>
                <w:color w:val="auto"/>
                <w:szCs w:val="21"/>
              </w:rPr>
              <w:t>28.0</w:t>
            </w:r>
          </w:p>
        </w:tc>
        <w:tc>
          <w:tcPr>
            <w:tcW w:w="4019" w:type="dxa"/>
            <w:gridSpan w:val="2"/>
            <w:vAlign w:val="center"/>
          </w:tcPr>
          <w:p>
            <w:pPr>
              <w:adjustRightInd w:val="0"/>
              <w:snapToGrid w:val="0"/>
              <w:ind w:firstLine="1470" w:firstLineChars="700"/>
              <w:textAlignment w:val="center"/>
              <w:rPr>
                <w:rFonts w:eastAsia="仿宋_GB2312"/>
                <w:bCs/>
                <w:color w:val="auto"/>
                <w:szCs w:val="21"/>
              </w:rPr>
            </w:pPr>
            <w:r>
              <w:rPr>
                <w:rFonts w:eastAsia="仿宋_GB2312"/>
                <w:bCs/>
                <w:color w:val="auto"/>
                <w:szCs w:val="21"/>
              </w:rPr>
              <w:t>36.36%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87" w:type="dxa"/>
            <w:gridSpan w:val="3"/>
            <w:vAlign w:val="center"/>
          </w:tcPr>
          <w:p>
            <w:pPr>
              <w:adjustRightInd w:val="0"/>
              <w:snapToGrid w:val="0"/>
              <w:jc w:val="center"/>
              <w:textAlignment w:val="center"/>
              <w:rPr>
                <w:rFonts w:eastAsia="仿宋_GB2312"/>
                <w:b/>
                <w:color w:val="auto"/>
                <w:szCs w:val="21"/>
              </w:rPr>
            </w:pPr>
            <w:r>
              <w:rPr>
                <w:rFonts w:eastAsia="仿宋_GB2312"/>
                <w:b/>
                <w:color w:val="auto"/>
                <w:szCs w:val="21"/>
              </w:rPr>
              <w:t>毕业总学分</w:t>
            </w:r>
          </w:p>
        </w:tc>
        <w:tc>
          <w:tcPr>
            <w:tcW w:w="4743" w:type="dxa"/>
            <w:gridSpan w:val="3"/>
            <w:vAlign w:val="center"/>
          </w:tcPr>
          <w:p>
            <w:pPr>
              <w:adjustRightInd w:val="0"/>
              <w:snapToGrid w:val="0"/>
              <w:jc w:val="center"/>
              <w:textAlignment w:val="center"/>
              <w:rPr>
                <w:rFonts w:eastAsia="仿宋_GB2312"/>
                <w:bCs/>
                <w:color w:val="auto"/>
                <w:szCs w:val="21"/>
              </w:rPr>
            </w:pPr>
            <w:r>
              <w:rPr>
                <w:rFonts w:eastAsia="仿宋_GB2312"/>
                <w:bCs/>
                <w:color w:val="auto"/>
                <w:szCs w:val="21"/>
              </w:rPr>
              <w:t>77.0</w:t>
            </w:r>
          </w:p>
        </w:tc>
      </w:tr>
    </w:tbl>
    <w:p>
      <w:pPr>
        <w:adjustRightInd w:val="0"/>
        <w:spacing w:before="120" w:beforeLines="50" w:line="520" w:lineRule="exact"/>
        <w:ind w:firstLine="560" w:firstLineChars="200"/>
        <w:rPr>
          <w:rFonts w:eastAsia="黑体"/>
          <w:bCs/>
          <w:color w:val="auto"/>
          <w:sz w:val="28"/>
          <w:szCs w:val="28"/>
        </w:rPr>
      </w:pPr>
      <w:r>
        <w:rPr>
          <w:rFonts w:eastAsia="黑体"/>
          <w:bCs/>
          <w:color w:val="auto"/>
          <w:sz w:val="28"/>
          <w:szCs w:val="28"/>
        </w:rPr>
        <w:t>五、学制、修业年限与学位授予</w:t>
      </w:r>
    </w:p>
    <w:p>
      <w:pPr>
        <w:spacing w:line="520" w:lineRule="exact"/>
        <w:ind w:firstLine="480" w:firstLineChars="200"/>
        <w:rPr>
          <w:rFonts w:eastAsia="仿宋_GB2312"/>
          <w:color w:val="auto"/>
          <w:sz w:val="24"/>
        </w:rPr>
      </w:pPr>
      <w:r>
        <w:rPr>
          <w:rFonts w:eastAsia="仿宋_GB2312"/>
          <w:color w:val="auto"/>
          <w:sz w:val="24"/>
        </w:rPr>
        <w:t>学制：2年；修业年限：2-4年</w:t>
      </w:r>
    </w:p>
    <w:p>
      <w:pPr>
        <w:spacing w:line="520" w:lineRule="exact"/>
        <w:ind w:firstLine="480" w:firstLineChars="200"/>
        <w:rPr>
          <w:rFonts w:eastAsia="仿宋_GB2312"/>
          <w:color w:val="auto"/>
          <w:sz w:val="28"/>
          <w:szCs w:val="28"/>
        </w:rPr>
      </w:pPr>
      <w:r>
        <w:rPr>
          <w:rFonts w:eastAsia="仿宋_GB2312"/>
          <w:color w:val="auto"/>
          <w:sz w:val="24"/>
        </w:rPr>
        <w:t>授予学位：符合国家学位规定和青岛农业大学学位授予条件者，授予工学学士学位</w:t>
      </w:r>
      <w:r>
        <w:rPr>
          <w:rFonts w:hint="eastAsia" w:eastAsia="仿宋_GB2312"/>
          <w:color w:val="auto"/>
          <w:sz w:val="24"/>
        </w:rPr>
        <w:t>。</w:t>
      </w:r>
    </w:p>
    <w:p>
      <w:pPr>
        <w:adjustRightInd w:val="0"/>
        <w:spacing w:after="120" w:afterLines="50" w:line="520" w:lineRule="exact"/>
        <w:ind w:firstLine="560" w:firstLineChars="200"/>
        <w:rPr>
          <w:rFonts w:eastAsia="黑体"/>
          <w:bCs/>
          <w:color w:val="auto"/>
          <w:sz w:val="28"/>
          <w:szCs w:val="28"/>
        </w:rPr>
      </w:pPr>
      <w:r>
        <w:rPr>
          <w:rFonts w:eastAsia="黑体"/>
          <w:bCs/>
          <w:color w:val="auto"/>
          <w:sz w:val="28"/>
          <w:szCs w:val="28"/>
        </w:rPr>
        <w:t>六、课程类型与基本要求</w:t>
      </w:r>
    </w:p>
    <w:tbl>
      <w:tblPr>
        <w:tblStyle w:val="23"/>
        <w:tblW w:w="9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4"/>
        <w:gridCol w:w="1117"/>
        <w:gridCol w:w="676"/>
        <w:gridCol w:w="6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4" w:type="dxa"/>
            <w:vAlign w:val="center"/>
          </w:tcPr>
          <w:p>
            <w:pPr>
              <w:adjustRightInd w:val="0"/>
              <w:snapToGrid w:val="0"/>
              <w:spacing w:line="320" w:lineRule="exact"/>
              <w:ind w:firstLine="30" w:firstLineChars="14"/>
              <w:jc w:val="center"/>
              <w:rPr>
                <w:rFonts w:eastAsia="仿宋_GB2312"/>
                <w:b/>
                <w:bCs/>
                <w:color w:val="auto"/>
                <w:szCs w:val="21"/>
              </w:rPr>
            </w:pPr>
            <w:r>
              <w:rPr>
                <w:rFonts w:eastAsia="仿宋_GB2312"/>
                <w:b/>
                <w:bCs/>
                <w:color w:val="auto"/>
                <w:szCs w:val="21"/>
              </w:rPr>
              <w:t>课程类型</w:t>
            </w:r>
          </w:p>
        </w:tc>
        <w:tc>
          <w:tcPr>
            <w:tcW w:w="1117" w:type="dxa"/>
            <w:vAlign w:val="center"/>
          </w:tcPr>
          <w:p>
            <w:pPr>
              <w:adjustRightInd w:val="0"/>
              <w:snapToGrid w:val="0"/>
              <w:spacing w:line="320" w:lineRule="exact"/>
              <w:ind w:firstLine="30" w:firstLineChars="14"/>
              <w:jc w:val="center"/>
              <w:rPr>
                <w:rFonts w:eastAsia="仿宋_GB2312"/>
                <w:b/>
                <w:bCs/>
                <w:color w:val="auto"/>
                <w:szCs w:val="21"/>
              </w:rPr>
            </w:pPr>
            <w:r>
              <w:rPr>
                <w:rFonts w:eastAsia="仿宋_GB2312"/>
                <w:b/>
                <w:bCs/>
                <w:color w:val="auto"/>
                <w:szCs w:val="21"/>
              </w:rPr>
              <w:t>课程属性</w:t>
            </w:r>
          </w:p>
        </w:tc>
        <w:tc>
          <w:tcPr>
            <w:tcW w:w="676" w:type="dxa"/>
            <w:vAlign w:val="center"/>
          </w:tcPr>
          <w:p>
            <w:pPr>
              <w:adjustRightInd w:val="0"/>
              <w:snapToGrid w:val="0"/>
              <w:spacing w:line="320" w:lineRule="exact"/>
              <w:ind w:firstLine="30" w:firstLineChars="14"/>
              <w:jc w:val="center"/>
              <w:rPr>
                <w:rFonts w:eastAsia="仿宋_GB2312"/>
                <w:b/>
                <w:bCs/>
                <w:color w:val="auto"/>
                <w:szCs w:val="21"/>
              </w:rPr>
            </w:pPr>
            <w:r>
              <w:rPr>
                <w:rFonts w:eastAsia="仿宋_GB2312"/>
                <w:b/>
                <w:bCs/>
                <w:color w:val="auto"/>
                <w:szCs w:val="21"/>
              </w:rPr>
              <w:t>学分</w:t>
            </w:r>
          </w:p>
        </w:tc>
        <w:tc>
          <w:tcPr>
            <w:tcW w:w="6383" w:type="dxa"/>
            <w:vAlign w:val="center"/>
          </w:tcPr>
          <w:p>
            <w:pPr>
              <w:adjustRightInd w:val="0"/>
              <w:snapToGrid w:val="0"/>
              <w:spacing w:line="320" w:lineRule="exact"/>
              <w:ind w:firstLine="474" w:firstLineChars="225"/>
              <w:jc w:val="center"/>
              <w:rPr>
                <w:rFonts w:eastAsia="仿宋_GB2312"/>
                <w:b/>
                <w:bCs/>
                <w:color w:val="auto"/>
                <w:szCs w:val="21"/>
              </w:rPr>
            </w:pPr>
            <w:r>
              <w:rPr>
                <w:rFonts w:eastAsia="仿宋_GB2312"/>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4" w:type="dxa"/>
            <w:vMerge w:val="restart"/>
            <w:vAlign w:val="center"/>
          </w:tcPr>
          <w:p>
            <w:pPr>
              <w:adjustRightInd w:val="0"/>
              <w:snapToGrid w:val="0"/>
              <w:spacing w:line="320" w:lineRule="exact"/>
              <w:ind w:firstLine="29" w:firstLineChars="14"/>
              <w:jc w:val="center"/>
              <w:rPr>
                <w:rFonts w:eastAsia="仿宋_GB2312"/>
                <w:color w:val="auto"/>
                <w:szCs w:val="21"/>
              </w:rPr>
            </w:pPr>
            <w:r>
              <w:rPr>
                <w:rFonts w:eastAsia="仿宋_GB2312"/>
                <w:color w:val="auto"/>
                <w:szCs w:val="21"/>
              </w:rPr>
              <w:t>通识课程</w:t>
            </w:r>
          </w:p>
        </w:tc>
        <w:tc>
          <w:tcPr>
            <w:tcW w:w="1117" w:type="dxa"/>
            <w:vAlign w:val="center"/>
          </w:tcPr>
          <w:p>
            <w:pPr>
              <w:adjustRightInd w:val="0"/>
              <w:snapToGrid w:val="0"/>
              <w:spacing w:line="320" w:lineRule="exact"/>
              <w:ind w:firstLine="29" w:firstLineChars="14"/>
              <w:jc w:val="center"/>
              <w:rPr>
                <w:rFonts w:eastAsia="仿宋_GB2312"/>
                <w:color w:val="auto"/>
                <w:szCs w:val="21"/>
              </w:rPr>
            </w:pPr>
            <w:r>
              <w:rPr>
                <w:rFonts w:eastAsia="仿宋_GB2312"/>
                <w:color w:val="auto"/>
                <w:szCs w:val="21"/>
              </w:rPr>
              <w:t>必修</w:t>
            </w:r>
          </w:p>
        </w:tc>
        <w:tc>
          <w:tcPr>
            <w:tcW w:w="676" w:type="dxa"/>
            <w:vAlign w:val="center"/>
          </w:tcPr>
          <w:p>
            <w:pPr>
              <w:adjustRightInd w:val="0"/>
              <w:snapToGrid w:val="0"/>
              <w:spacing w:line="320" w:lineRule="exact"/>
              <w:ind w:firstLine="29" w:firstLineChars="14"/>
              <w:jc w:val="center"/>
              <w:rPr>
                <w:rFonts w:eastAsia="仿宋_GB2312"/>
                <w:color w:val="auto"/>
                <w:szCs w:val="21"/>
              </w:rPr>
            </w:pPr>
            <w:r>
              <w:rPr>
                <w:rFonts w:eastAsia="仿宋_GB2312"/>
                <w:color w:val="auto"/>
                <w:szCs w:val="21"/>
              </w:rPr>
              <w:t>4.0</w:t>
            </w:r>
          </w:p>
        </w:tc>
        <w:tc>
          <w:tcPr>
            <w:tcW w:w="6383" w:type="dxa"/>
            <w:vAlign w:val="center"/>
          </w:tcPr>
          <w:p>
            <w:pPr>
              <w:adjustRightInd w:val="0"/>
              <w:snapToGrid w:val="0"/>
              <w:spacing w:line="320" w:lineRule="exact"/>
              <w:jc w:val="left"/>
              <w:rPr>
                <w:rFonts w:eastAsia="仿宋_GB2312"/>
                <w:color w:val="auto"/>
                <w:szCs w:val="21"/>
              </w:rPr>
            </w:pPr>
            <w:r>
              <w:rPr>
                <w:rFonts w:eastAsia="仿宋_GB2312"/>
                <w:color w:val="auto"/>
                <w:szCs w:val="21"/>
              </w:rPr>
              <w:t>大学生职业生涯规划（1学分）、创业基础（1学分）</w:t>
            </w:r>
            <w:r>
              <w:rPr>
                <w:rFonts w:hint="eastAsia" w:eastAsia="仿宋_GB2312"/>
                <w:color w:val="auto"/>
                <w:szCs w:val="21"/>
              </w:rPr>
              <w:t>、军事理论（2学分）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4" w:type="dxa"/>
            <w:vMerge w:val="continue"/>
            <w:vAlign w:val="center"/>
          </w:tcPr>
          <w:p>
            <w:pPr>
              <w:adjustRightInd w:val="0"/>
              <w:snapToGrid w:val="0"/>
              <w:spacing w:line="320" w:lineRule="exact"/>
              <w:ind w:firstLine="29" w:firstLineChars="14"/>
              <w:jc w:val="center"/>
              <w:rPr>
                <w:rFonts w:eastAsia="仿宋_GB2312"/>
                <w:color w:val="auto"/>
                <w:szCs w:val="21"/>
              </w:rPr>
            </w:pPr>
          </w:p>
        </w:tc>
        <w:tc>
          <w:tcPr>
            <w:tcW w:w="1117" w:type="dxa"/>
            <w:vAlign w:val="center"/>
          </w:tcPr>
          <w:p>
            <w:pPr>
              <w:adjustRightInd w:val="0"/>
              <w:snapToGrid w:val="0"/>
              <w:spacing w:line="320" w:lineRule="exact"/>
              <w:ind w:firstLine="29" w:firstLineChars="14"/>
              <w:jc w:val="center"/>
              <w:rPr>
                <w:rFonts w:eastAsia="仿宋_GB2312"/>
                <w:color w:val="auto"/>
                <w:szCs w:val="21"/>
              </w:rPr>
            </w:pPr>
            <w:r>
              <w:rPr>
                <w:rFonts w:eastAsia="仿宋_GB2312"/>
                <w:color w:val="auto"/>
                <w:szCs w:val="21"/>
              </w:rPr>
              <w:t>选修</w:t>
            </w:r>
          </w:p>
        </w:tc>
        <w:tc>
          <w:tcPr>
            <w:tcW w:w="676" w:type="dxa"/>
            <w:vAlign w:val="center"/>
          </w:tcPr>
          <w:p>
            <w:pPr>
              <w:adjustRightInd w:val="0"/>
              <w:snapToGrid w:val="0"/>
              <w:spacing w:line="320" w:lineRule="exact"/>
              <w:ind w:firstLine="29" w:firstLineChars="14"/>
              <w:jc w:val="center"/>
              <w:rPr>
                <w:rFonts w:eastAsia="仿宋_GB2312"/>
                <w:color w:val="auto"/>
                <w:szCs w:val="21"/>
              </w:rPr>
            </w:pPr>
            <w:r>
              <w:rPr>
                <w:rFonts w:eastAsia="仿宋_GB2312"/>
                <w:color w:val="auto"/>
                <w:szCs w:val="21"/>
              </w:rPr>
              <w:t>4.0</w:t>
            </w:r>
          </w:p>
        </w:tc>
        <w:tc>
          <w:tcPr>
            <w:tcW w:w="6383" w:type="dxa"/>
            <w:vAlign w:val="center"/>
          </w:tcPr>
          <w:p>
            <w:pPr>
              <w:adjustRightInd w:val="0"/>
              <w:snapToGrid w:val="0"/>
              <w:spacing w:line="320" w:lineRule="exact"/>
              <w:rPr>
                <w:rFonts w:eastAsia="仿宋_GB2312"/>
                <w:color w:val="auto"/>
                <w:szCs w:val="21"/>
              </w:rPr>
            </w:pPr>
            <w:r>
              <w:rPr>
                <w:rFonts w:eastAsia="仿宋_GB2312"/>
                <w:color w:val="auto"/>
                <w:szCs w:val="21"/>
              </w:rPr>
              <w:t>最低选修4学分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4" w:type="dxa"/>
            <w:vMerge w:val="restart"/>
            <w:vAlign w:val="center"/>
          </w:tcPr>
          <w:p>
            <w:pPr>
              <w:adjustRightInd w:val="0"/>
              <w:snapToGrid w:val="0"/>
              <w:spacing w:line="320" w:lineRule="exact"/>
              <w:ind w:firstLine="29" w:firstLineChars="14"/>
              <w:jc w:val="center"/>
              <w:rPr>
                <w:rFonts w:eastAsia="仿宋_GB2312"/>
                <w:color w:val="auto"/>
                <w:szCs w:val="21"/>
              </w:rPr>
            </w:pPr>
            <w:r>
              <w:rPr>
                <w:rFonts w:eastAsia="仿宋_GB2312"/>
                <w:color w:val="auto"/>
                <w:szCs w:val="21"/>
              </w:rPr>
              <w:t>专业教育课程</w:t>
            </w:r>
          </w:p>
        </w:tc>
        <w:tc>
          <w:tcPr>
            <w:tcW w:w="1117" w:type="dxa"/>
            <w:vAlign w:val="center"/>
          </w:tcPr>
          <w:p>
            <w:pPr>
              <w:adjustRightInd w:val="0"/>
              <w:snapToGrid w:val="0"/>
              <w:spacing w:line="320" w:lineRule="exact"/>
              <w:ind w:firstLine="29" w:firstLineChars="14"/>
              <w:jc w:val="center"/>
              <w:rPr>
                <w:rFonts w:eastAsia="仿宋_GB2312"/>
                <w:color w:val="auto"/>
                <w:szCs w:val="21"/>
              </w:rPr>
            </w:pPr>
            <w:r>
              <w:rPr>
                <w:rFonts w:eastAsia="仿宋_GB2312"/>
                <w:color w:val="auto"/>
                <w:szCs w:val="21"/>
              </w:rPr>
              <w:t>必修</w:t>
            </w:r>
          </w:p>
        </w:tc>
        <w:tc>
          <w:tcPr>
            <w:tcW w:w="676" w:type="dxa"/>
            <w:vAlign w:val="center"/>
          </w:tcPr>
          <w:p>
            <w:pPr>
              <w:adjustRightInd w:val="0"/>
              <w:snapToGrid w:val="0"/>
              <w:spacing w:line="320" w:lineRule="exact"/>
              <w:ind w:firstLine="29" w:firstLineChars="14"/>
              <w:jc w:val="center"/>
              <w:rPr>
                <w:rFonts w:eastAsia="仿宋_GB2312"/>
                <w:color w:val="auto"/>
                <w:szCs w:val="21"/>
              </w:rPr>
            </w:pPr>
            <w:r>
              <w:rPr>
                <w:rFonts w:eastAsia="仿宋_GB2312"/>
                <w:color w:val="auto"/>
                <w:szCs w:val="21"/>
              </w:rPr>
              <w:t>19.0</w:t>
            </w:r>
          </w:p>
        </w:tc>
        <w:tc>
          <w:tcPr>
            <w:tcW w:w="6383" w:type="dxa"/>
          </w:tcPr>
          <w:p>
            <w:pPr>
              <w:adjustRightInd w:val="0"/>
              <w:snapToGrid w:val="0"/>
              <w:spacing w:line="320" w:lineRule="exact"/>
              <w:jc w:val="left"/>
              <w:rPr>
                <w:rFonts w:eastAsia="仿宋_GB2312"/>
                <w:color w:val="auto"/>
                <w:szCs w:val="21"/>
              </w:rPr>
            </w:pPr>
            <w:r>
              <w:rPr>
                <w:rFonts w:eastAsia="仿宋_GB2312"/>
                <w:color w:val="auto"/>
                <w:szCs w:val="21"/>
              </w:rPr>
              <w:t>工程造价专业概论（1.0学分）、</w:t>
            </w:r>
            <w:r>
              <w:rPr>
                <w:rFonts w:hint="eastAsia" w:eastAsia="仿宋_GB2312"/>
                <w:color w:val="auto"/>
                <w:szCs w:val="21"/>
                <w:lang w:eastAsia="zh-CN"/>
              </w:rPr>
              <w:t>建设法规A</w:t>
            </w:r>
            <w:r>
              <w:rPr>
                <w:rFonts w:eastAsia="仿宋_GB2312"/>
                <w:color w:val="auto"/>
                <w:szCs w:val="21"/>
              </w:rPr>
              <w:t>（2.0学分）、经济法</w:t>
            </w:r>
            <w:r>
              <w:rPr>
                <w:rFonts w:hint="eastAsia" w:eastAsia="仿宋_GB2312"/>
                <w:color w:val="auto"/>
                <w:szCs w:val="21"/>
                <w:lang w:val="en-US" w:eastAsia="zh-CN"/>
              </w:rPr>
              <w:t>B</w:t>
            </w:r>
            <w:r>
              <w:rPr>
                <w:rFonts w:eastAsia="仿宋_GB2312"/>
                <w:color w:val="auto"/>
                <w:szCs w:val="21"/>
              </w:rPr>
              <w:t>（1.0学分）、运筹学（3.0学分）、工程经济学（3.0学分）、</w:t>
            </w:r>
            <w:r>
              <w:rPr>
                <w:rFonts w:hint="eastAsia" w:eastAsia="仿宋_GB2312"/>
                <w:color w:val="auto"/>
                <w:szCs w:val="21"/>
                <w:lang w:eastAsia="zh-CN"/>
              </w:rPr>
              <w:t>工程招投标与合同管理B</w:t>
            </w:r>
            <w:r>
              <w:rPr>
                <w:rFonts w:eastAsia="仿宋_GB2312"/>
                <w:color w:val="auto"/>
                <w:szCs w:val="21"/>
              </w:rPr>
              <w:t>（3.0学分）、</w:t>
            </w:r>
            <w:r>
              <w:rPr>
                <w:rFonts w:hint="eastAsia" w:eastAsia="仿宋_GB2312"/>
                <w:color w:val="auto"/>
                <w:szCs w:val="21"/>
                <w:lang w:eastAsia="zh-CN"/>
              </w:rPr>
              <w:t>房地产估价A</w:t>
            </w:r>
            <w:r>
              <w:rPr>
                <w:rFonts w:eastAsia="仿宋_GB2312"/>
                <w:color w:val="auto"/>
                <w:szCs w:val="21"/>
              </w:rPr>
              <w:t>（2.0学分）、</w:t>
            </w:r>
            <w:r>
              <w:rPr>
                <w:rFonts w:hint="eastAsia" w:eastAsia="仿宋_GB2312"/>
                <w:color w:val="auto"/>
                <w:szCs w:val="21"/>
                <w:lang w:eastAsia="zh-CN"/>
              </w:rPr>
              <w:t>工程项目管理B</w:t>
            </w:r>
            <w:r>
              <w:rPr>
                <w:rFonts w:eastAsia="仿宋_GB2312"/>
                <w:color w:val="auto"/>
                <w:szCs w:val="21"/>
              </w:rPr>
              <w:t>（2.0学分</w:t>
            </w:r>
            <w:r>
              <w:rPr>
                <w:rFonts w:hint="eastAsia" w:eastAsia="仿宋_GB2312"/>
                <w:color w:val="auto"/>
                <w:szCs w:val="21"/>
              </w:rPr>
              <w:t>）、</w:t>
            </w:r>
            <w:r>
              <w:rPr>
                <w:rFonts w:eastAsia="仿宋_GB2312"/>
                <w:color w:val="auto"/>
                <w:szCs w:val="21"/>
              </w:rPr>
              <w:t>工程造价管理（2.0学分）、）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4" w:type="dxa"/>
            <w:vMerge w:val="continue"/>
            <w:vAlign w:val="center"/>
          </w:tcPr>
          <w:p>
            <w:pPr>
              <w:adjustRightInd w:val="0"/>
              <w:snapToGrid w:val="0"/>
              <w:spacing w:line="320" w:lineRule="exact"/>
              <w:ind w:firstLine="29" w:firstLineChars="14"/>
              <w:jc w:val="center"/>
              <w:rPr>
                <w:rFonts w:eastAsia="仿宋_GB2312"/>
                <w:color w:val="auto"/>
                <w:szCs w:val="21"/>
              </w:rPr>
            </w:pPr>
          </w:p>
        </w:tc>
        <w:tc>
          <w:tcPr>
            <w:tcW w:w="1117" w:type="dxa"/>
            <w:vAlign w:val="center"/>
          </w:tcPr>
          <w:p>
            <w:pPr>
              <w:adjustRightInd w:val="0"/>
              <w:snapToGrid w:val="0"/>
              <w:spacing w:line="320" w:lineRule="exact"/>
              <w:ind w:firstLine="29" w:firstLineChars="14"/>
              <w:jc w:val="center"/>
              <w:rPr>
                <w:rFonts w:eastAsia="仿宋_GB2312"/>
                <w:color w:val="auto"/>
                <w:szCs w:val="21"/>
              </w:rPr>
            </w:pPr>
            <w:r>
              <w:rPr>
                <w:rFonts w:eastAsia="仿宋_GB2312"/>
                <w:color w:val="auto"/>
                <w:szCs w:val="21"/>
              </w:rPr>
              <w:t>选修</w:t>
            </w:r>
          </w:p>
        </w:tc>
        <w:tc>
          <w:tcPr>
            <w:tcW w:w="676" w:type="dxa"/>
            <w:vAlign w:val="center"/>
          </w:tcPr>
          <w:p>
            <w:pPr>
              <w:adjustRightInd w:val="0"/>
              <w:snapToGrid w:val="0"/>
              <w:spacing w:line="320" w:lineRule="exact"/>
              <w:ind w:firstLine="29" w:firstLineChars="14"/>
              <w:jc w:val="center"/>
              <w:rPr>
                <w:rFonts w:eastAsia="仿宋_GB2312"/>
                <w:color w:val="auto"/>
                <w:szCs w:val="21"/>
              </w:rPr>
            </w:pPr>
            <w:r>
              <w:rPr>
                <w:rFonts w:eastAsia="仿宋_GB2312"/>
                <w:color w:val="auto"/>
                <w:szCs w:val="21"/>
              </w:rPr>
              <w:t>22.0</w:t>
            </w:r>
          </w:p>
        </w:tc>
        <w:tc>
          <w:tcPr>
            <w:tcW w:w="6383" w:type="dxa"/>
            <w:vAlign w:val="center"/>
          </w:tcPr>
          <w:p>
            <w:pPr>
              <w:adjustRightInd w:val="0"/>
              <w:spacing w:line="320" w:lineRule="exact"/>
              <w:jc w:val="left"/>
              <w:rPr>
                <w:rFonts w:eastAsia="仿宋_GB2312"/>
                <w:color w:val="auto"/>
                <w:szCs w:val="21"/>
              </w:rPr>
            </w:pPr>
            <w:r>
              <w:rPr>
                <w:rFonts w:hint="eastAsia" w:eastAsia="仿宋_GB2312"/>
                <w:color w:val="auto"/>
                <w:szCs w:val="21"/>
              </w:rPr>
              <w:t>经济与管理模块：最低选修</w:t>
            </w:r>
            <w:r>
              <w:rPr>
                <w:rFonts w:eastAsia="仿宋_GB2312"/>
                <w:color w:val="auto"/>
                <w:szCs w:val="21"/>
              </w:rPr>
              <w:t>4.0</w:t>
            </w:r>
            <w:r>
              <w:rPr>
                <w:rFonts w:hint="eastAsia" w:eastAsia="仿宋_GB2312"/>
                <w:color w:val="auto"/>
                <w:szCs w:val="21"/>
              </w:rPr>
              <w:t>学分</w:t>
            </w:r>
          </w:p>
          <w:p>
            <w:pPr>
              <w:adjustRightInd w:val="0"/>
              <w:spacing w:line="320" w:lineRule="exact"/>
              <w:jc w:val="left"/>
              <w:rPr>
                <w:rFonts w:eastAsia="仿宋_GB2312"/>
                <w:color w:val="auto"/>
                <w:szCs w:val="21"/>
              </w:rPr>
            </w:pPr>
            <w:r>
              <w:rPr>
                <w:rFonts w:hint="eastAsia" w:eastAsia="仿宋_GB2312"/>
                <w:color w:val="auto"/>
                <w:szCs w:val="21"/>
              </w:rPr>
              <w:t>工程技术模块：最低选修</w:t>
            </w:r>
            <w:r>
              <w:rPr>
                <w:rFonts w:eastAsia="仿宋_GB2312"/>
                <w:color w:val="auto"/>
                <w:szCs w:val="21"/>
              </w:rPr>
              <w:t>1.5</w:t>
            </w:r>
            <w:r>
              <w:rPr>
                <w:rFonts w:hint="eastAsia" w:eastAsia="仿宋_GB2312"/>
                <w:color w:val="auto"/>
                <w:szCs w:val="21"/>
              </w:rPr>
              <w:t>学分</w:t>
            </w:r>
          </w:p>
          <w:p>
            <w:pPr>
              <w:adjustRightInd w:val="0"/>
              <w:spacing w:line="320" w:lineRule="exact"/>
              <w:rPr>
                <w:rFonts w:eastAsia="仿宋_GB2312"/>
                <w:color w:val="auto"/>
                <w:szCs w:val="21"/>
              </w:rPr>
            </w:pPr>
            <w:r>
              <w:rPr>
                <w:rFonts w:hint="eastAsia" w:eastAsia="仿宋_GB2312"/>
                <w:color w:val="auto"/>
                <w:szCs w:val="21"/>
              </w:rPr>
              <w:t>信息化技术知识模块：最低选修</w:t>
            </w:r>
            <w:r>
              <w:rPr>
                <w:rFonts w:eastAsia="仿宋_GB2312"/>
                <w:color w:val="auto"/>
                <w:szCs w:val="21"/>
              </w:rPr>
              <w:t>3</w:t>
            </w:r>
            <w:r>
              <w:rPr>
                <w:rFonts w:hint="eastAsia" w:eastAsia="仿宋_GB2312"/>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4" w:type="dxa"/>
            <w:vAlign w:val="center"/>
          </w:tcPr>
          <w:p>
            <w:pPr>
              <w:adjustRightInd w:val="0"/>
              <w:snapToGrid w:val="0"/>
              <w:spacing w:line="320" w:lineRule="exact"/>
              <w:ind w:firstLine="29" w:firstLineChars="14"/>
              <w:jc w:val="center"/>
              <w:rPr>
                <w:rFonts w:eastAsia="仿宋_GB2312"/>
                <w:color w:val="auto"/>
                <w:szCs w:val="21"/>
              </w:rPr>
            </w:pPr>
            <w:r>
              <w:rPr>
                <w:rFonts w:eastAsia="仿宋_GB2312"/>
                <w:color w:val="auto"/>
                <w:szCs w:val="21"/>
              </w:rPr>
              <w:t>实践课程</w:t>
            </w:r>
          </w:p>
        </w:tc>
        <w:tc>
          <w:tcPr>
            <w:tcW w:w="1117" w:type="dxa"/>
            <w:vAlign w:val="center"/>
          </w:tcPr>
          <w:p>
            <w:pPr>
              <w:adjustRightInd w:val="0"/>
              <w:snapToGrid w:val="0"/>
              <w:spacing w:line="320" w:lineRule="exact"/>
              <w:ind w:firstLine="29" w:firstLineChars="14"/>
              <w:jc w:val="center"/>
              <w:rPr>
                <w:rFonts w:eastAsia="仿宋_GB2312"/>
                <w:color w:val="auto"/>
                <w:szCs w:val="21"/>
              </w:rPr>
            </w:pPr>
            <w:r>
              <w:rPr>
                <w:rFonts w:eastAsia="仿宋_GB2312"/>
                <w:color w:val="auto"/>
                <w:szCs w:val="21"/>
              </w:rPr>
              <w:t>必修</w:t>
            </w:r>
          </w:p>
        </w:tc>
        <w:tc>
          <w:tcPr>
            <w:tcW w:w="676" w:type="dxa"/>
            <w:vAlign w:val="center"/>
          </w:tcPr>
          <w:p>
            <w:pPr>
              <w:adjustRightInd w:val="0"/>
              <w:snapToGrid w:val="0"/>
              <w:spacing w:line="320" w:lineRule="exact"/>
              <w:ind w:firstLine="29" w:firstLineChars="14"/>
              <w:jc w:val="center"/>
              <w:rPr>
                <w:rFonts w:eastAsia="仿宋_GB2312"/>
                <w:color w:val="auto"/>
                <w:szCs w:val="21"/>
              </w:rPr>
            </w:pPr>
            <w:r>
              <w:rPr>
                <w:rFonts w:eastAsia="仿宋_GB2312"/>
                <w:color w:val="auto"/>
                <w:szCs w:val="21"/>
              </w:rPr>
              <w:t>28</w:t>
            </w:r>
            <w:r>
              <w:rPr>
                <w:rFonts w:hint="eastAsia" w:eastAsia="仿宋_GB2312"/>
                <w:color w:val="auto"/>
                <w:szCs w:val="21"/>
              </w:rPr>
              <w:t>.</w:t>
            </w:r>
            <w:r>
              <w:rPr>
                <w:rFonts w:eastAsia="仿宋_GB2312"/>
                <w:color w:val="auto"/>
                <w:szCs w:val="21"/>
              </w:rPr>
              <w:t>0</w:t>
            </w:r>
          </w:p>
        </w:tc>
        <w:tc>
          <w:tcPr>
            <w:tcW w:w="6383" w:type="dxa"/>
            <w:vAlign w:val="center"/>
          </w:tcPr>
          <w:p>
            <w:pPr>
              <w:adjustRightInd w:val="0"/>
              <w:snapToGrid w:val="0"/>
              <w:spacing w:line="320" w:lineRule="exact"/>
              <w:jc w:val="left"/>
              <w:rPr>
                <w:rFonts w:eastAsia="仿宋_GB2312"/>
                <w:color w:val="auto"/>
                <w:szCs w:val="21"/>
              </w:rPr>
            </w:pPr>
            <w:r>
              <w:rPr>
                <w:rFonts w:eastAsia="仿宋_GB2312"/>
                <w:color w:val="auto"/>
                <w:szCs w:val="21"/>
              </w:rPr>
              <w:t>入学教育、军训（含军事技能）（2.0学分）、毕业教育（0学分）、第二课堂实践（1.0学分）、《创业基础》实践（1.0学分）、工程经济学课程设计（2.0学分）、</w:t>
            </w:r>
            <w:r>
              <w:rPr>
                <w:rFonts w:hint="eastAsia" w:eastAsia="仿宋_GB2312"/>
                <w:color w:val="auto"/>
                <w:szCs w:val="21"/>
                <w:lang w:eastAsia="zh-CN"/>
              </w:rPr>
              <w:t>工程招投标与合同管理B</w:t>
            </w:r>
            <w:r>
              <w:rPr>
                <w:rFonts w:eastAsia="仿宋_GB2312"/>
                <w:color w:val="auto"/>
                <w:szCs w:val="21"/>
              </w:rPr>
              <w:t>课程设计（1.0学分）、</w:t>
            </w:r>
            <w:r>
              <w:rPr>
                <w:rFonts w:hint="eastAsia" w:eastAsia="仿宋_GB2312"/>
                <w:color w:val="auto"/>
                <w:szCs w:val="21"/>
                <w:lang w:eastAsia="zh-CN"/>
              </w:rPr>
              <w:t>工程项目管理B</w:t>
            </w:r>
            <w:r>
              <w:rPr>
                <w:rFonts w:eastAsia="仿宋_GB2312"/>
                <w:color w:val="auto"/>
                <w:szCs w:val="21"/>
              </w:rPr>
              <w:t>课程设计（2.0学分）、大学生就业指导（1.0学分）、工程造价管理业务实践（8.0学分）、工程造价专业（3+2）毕业论文（设计）（10.0学分）</w:t>
            </w:r>
          </w:p>
        </w:tc>
      </w:tr>
    </w:tbl>
    <w:p>
      <w:pPr>
        <w:adjustRightInd w:val="0"/>
        <w:snapToGrid w:val="0"/>
        <w:spacing w:line="360" w:lineRule="exact"/>
        <w:rPr>
          <w:rFonts w:eastAsia="仿宋_GB2312"/>
          <w:color w:val="auto"/>
          <w:szCs w:val="21"/>
        </w:rPr>
      </w:pPr>
    </w:p>
    <w:p>
      <w:pPr>
        <w:adjustRightInd w:val="0"/>
        <w:snapToGrid w:val="0"/>
        <w:spacing w:line="360" w:lineRule="auto"/>
        <w:ind w:firstLine="600" w:firstLineChars="200"/>
        <w:rPr>
          <w:rFonts w:eastAsia="黑体"/>
          <w:bCs/>
          <w:color w:val="auto"/>
          <w:sz w:val="30"/>
          <w:szCs w:val="30"/>
        </w:rPr>
        <w:sectPr>
          <w:footerReference r:id="rId3" w:type="default"/>
          <w:pgSz w:w="11906" w:h="16838"/>
          <w:pgMar w:top="1531" w:right="1361" w:bottom="1021" w:left="1531" w:header="851" w:footer="1531" w:gutter="0"/>
          <w:pgNumType w:fmt="numberInDash"/>
          <w:cols w:space="0" w:num="1"/>
          <w:docGrid w:linePitch="312" w:charSpace="0"/>
        </w:sectPr>
      </w:pP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七、指导性教学计划进程安排</w:t>
      </w:r>
    </w:p>
    <w:p>
      <w:pPr>
        <w:adjustRightInd w:val="0"/>
        <w:snapToGrid w:val="0"/>
        <w:spacing w:line="360" w:lineRule="auto"/>
        <w:ind w:firstLine="560" w:firstLineChars="200"/>
        <w:rPr>
          <w:rFonts w:eastAsia="楷体_GB2312"/>
          <w:bCs/>
          <w:color w:val="auto"/>
          <w:sz w:val="28"/>
          <w:szCs w:val="28"/>
        </w:rPr>
      </w:pPr>
      <w:r>
        <w:rPr>
          <w:rFonts w:eastAsia="楷体_GB2312"/>
          <w:bCs/>
          <w:color w:val="auto"/>
          <w:sz w:val="28"/>
          <w:szCs w:val="28"/>
        </w:rPr>
        <w:t>（一）课内教学环节</w:t>
      </w:r>
    </w:p>
    <w:p>
      <w:pPr>
        <w:adjustRightInd w:val="0"/>
        <w:snapToGrid w:val="0"/>
        <w:spacing w:line="360" w:lineRule="auto"/>
        <w:rPr>
          <w:rFonts w:eastAsiaTheme="minorEastAsia"/>
          <w:bCs/>
          <w:color w:val="auto"/>
          <w:szCs w:val="21"/>
        </w:rPr>
      </w:pPr>
      <w:r>
        <w:rPr>
          <w:rFonts w:eastAsia="黑体"/>
          <w:bCs/>
          <w:color w:val="auto"/>
          <w:sz w:val="24"/>
        </w:rPr>
        <w:t>表Ⅰ 必修课课程设置与教学进程一览表</w:t>
      </w:r>
      <w:r>
        <w:rPr>
          <w:rFonts w:hint="eastAsia" w:eastAsia="黑体"/>
          <w:bCs/>
          <w:color w:val="auto"/>
          <w:sz w:val="24"/>
        </w:rPr>
        <w:t xml:space="preserve">                                                        </w:t>
      </w:r>
      <w:r>
        <w:rPr>
          <w:rFonts w:eastAsia="黑体"/>
          <w:bCs/>
          <w:color w:val="auto"/>
          <w:sz w:val="24"/>
        </w:rPr>
        <w:t>工程造价专业（3+2）</w:t>
      </w:r>
    </w:p>
    <w:tbl>
      <w:tblPr>
        <w:tblStyle w:val="23"/>
        <w:tblW w:w="141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731"/>
        <w:gridCol w:w="365"/>
        <w:gridCol w:w="66"/>
        <w:gridCol w:w="3981"/>
        <w:gridCol w:w="938"/>
        <w:gridCol w:w="836"/>
        <w:gridCol w:w="836"/>
        <w:gridCol w:w="603"/>
        <w:gridCol w:w="637"/>
        <w:gridCol w:w="847"/>
        <w:gridCol w:w="847"/>
        <w:gridCol w:w="714"/>
        <w:gridCol w:w="629"/>
        <w:gridCol w:w="1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restart"/>
            <w:tcBorders>
              <w:top w:val="single" w:color="auto" w:sz="8" w:space="0"/>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类型</w:t>
            </w:r>
          </w:p>
        </w:tc>
        <w:tc>
          <w:tcPr>
            <w:tcW w:w="1162" w:type="dxa"/>
            <w:gridSpan w:val="3"/>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3981" w:type="dxa"/>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938" w:type="dxa"/>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2912" w:type="dxa"/>
            <w:gridSpan w:val="4"/>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学时</w:t>
            </w:r>
          </w:p>
        </w:tc>
        <w:tc>
          <w:tcPr>
            <w:tcW w:w="3037" w:type="dxa"/>
            <w:gridSpan w:val="4"/>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各学期学时分配</w:t>
            </w:r>
          </w:p>
        </w:tc>
        <w:tc>
          <w:tcPr>
            <w:tcW w:w="1317" w:type="dxa"/>
            <w:vMerge w:val="restart"/>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continue"/>
            <w:tcBorders>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2" w:type="dxa"/>
            <w:gridSpan w:val="3"/>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1" w:type="dxa"/>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938" w:type="dxa"/>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总学时</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理论</w:t>
            </w:r>
          </w:p>
        </w:tc>
        <w:tc>
          <w:tcPr>
            <w:tcW w:w="60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实验</w:t>
            </w:r>
          </w:p>
        </w:tc>
        <w:tc>
          <w:tcPr>
            <w:tcW w:w="63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线上</w:t>
            </w: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一</w:t>
            </w: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二</w:t>
            </w:r>
          </w:p>
        </w:tc>
        <w:tc>
          <w:tcPr>
            <w:tcW w:w="71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三</w:t>
            </w:r>
          </w:p>
        </w:tc>
        <w:tc>
          <w:tcPr>
            <w:tcW w:w="62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四</w:t>
            </w:r>
          </w:p>
        </w:tc>
        <w:tc>
          <w:tcPr>
            <w:tcW w:w="1317" w:type="dxa"/>
            <w:vMerge w:val="continue"/>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restart"/>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通</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识</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课</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程</w:t>
            </w:r>
          </w:p>
        </w:tc>
        <w:tc>
          <w:tcPr>
            <w:tcW w:w="116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3981"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大学生职业生涯规划</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planning or University Students</w:t>
            </w:r>
          </w:p>
        </w:tc>
        <w:tc>
          <w:tcPr>
            <w:tcW w:w="9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60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3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71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317"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162" w:type="dxa"/>
            <w:gridSpan w:val="3"/>
            <w:tcBorders>
              <w:top w:val="single" w:color="auto" w:sz="4"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4040016</w:t>
            </w:r>
          </w:p>
        </w:tc>
        <w:tc>
          <w:tcPr>
            <w:tcW w:w="3981" w:type="dxa"/>
            <w:tcBorders>
              <w:top w:val="single" w:color="auto" w:sz="4"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Entrepreneurship</w:t>
            </w:r>
          </w:p>
        </w:tc>
        <w:tc>
          <w:tcPr>
            <w:tcW w:w="938"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836"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836"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60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37"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847"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714"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9"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317" w:type="dxa"/>
            <w:tcBorders>
              <w:top w:val="single" w:color="auto" w:sz="4"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162" w:type="dxa"/>
            <w:gridSpan w:val="3"/>
            <w:tcBorders>
              <w:top w:val="single" w:color="auto" w:sz="4"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4040015</w:t>
            </w:r>
          </w:p>
        </w:tc>
        <w:tc>
          <w:tcPr>
            <w:tcW w:w="3981" w:type="dxa"/>
            <w:tcBorders>
              <w:top w:val="single" w:color="auto" w:sz="4" w:space="0"/>
              <w:left w:val="single" w:color="auto" w:sz="6" w:space="0"/>
              <w:bottom w:val="single" w:color="auto" w:sz="6" w:space="0"/>
              <w:right w:val="single" w:color="auto" w:sz="6" w:space="0"/>
            </w:tcBorders>
          </w:tcPr>
          <w:p>
            <w:pPr>
              <w:spacing w:line="240" w:lineRule="exact"/>
              <w:jc w:val="left"/>
              <w:rPr>
                <w:rFonts w:eastAsia="仿宋_GB2312"/>
                <w:color w:val="auto"/>
                <w:sz w:val="18"/>
                <w:szCs w:val="18"/>
              </w:rPr>
            </w:pPr>
            <w:r>
              <w:rPr>
                <w:rFonts w:eastAsia="仿宋_GB2312"/>
                <w:color w:val="auto"/>
                <w:sz w:val="18"/>
                <w:szCs w:val="18"/>
              </w:rPr>
              <w:t>军事理论</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Military Theory</w:t>
            </w:r>
          </w:p>
        </w:tc>
        <w:tc>
          <w:tcPr>
            <w:tcW w:w="938"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836"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836"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60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637"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714"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9"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317" w:type="dxa"/>
            <w:tcBorders>
              <w:top w:val="single" w:color="auto" w:sz="4"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continue"/>
            <w:tcBorders>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143" w:type="dxa"/>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
                <w:color w:val="auto"/>
                <w:sz w:val="18"/>
                <w:szCs w:val="18"/>
              </w:rPr>
              <w:t>小计</w:t>
            </w:r>
          </w:p>
        </w:tc>
        <w:tc>
          <w:tcPr>
            <w:tcW w:w="9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4.0</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68</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68</w:t>
            </w:r>
          </w:p>
        </w:tc>
        <w:tc>
          <w:tcPr>
            <w:tcW w:w="60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63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32</w:t>
            </w: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36</w:t>
            </w:r>
          </w:p>
        </w:tc>
        <w:tc>
          <w:tcPr>
            <w:tcW w:w="71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2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317"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restart"/>
            <w:tcBorders>
              <w:top w:val="single" w:color="auto" w:sz="6" w:space="0"/>
              <w:left w:val="single" w:color="auto" w:sz="8" w:space="0"/>
              <w:bottom w:val="single" w:color="auto" w:sz="6" w:space="0"/>
              <w:right w:val="single" w:color="auto" w:sz="6" w:space="0"/>
            </w:tcBorders>
            <w:textDirection w:val="tbRlV"/>
            <w:vAlign w:val="center"/>
          </w:tcPr>
          <w:p>
            <w:pPr>
              <w:adjustRightInd w:val="0"/>
              <w:snapToGrid w:val="0"/>
              <w:spacing w:line="240" w:lineRule="exact"/>
              <w:ind w:left="0" w:leftChars="0" w:firstLine="0" w:firstLineChars="0"/>
              <w:jc w:val="center"/>
              <w:rPr>
                <w:rFonts w:eastAsia="仿宋_GB2312"/>
                <w:b/>
                <w:color w:val="auto"/>
                <w:sz w:val="18"/>
                <w:szCs w:val="18"/>
              </w:rPr>
            </w:pPr>
            <w:r>
              <w:rPr>
                <w:rFonts w:eastAsia="仿宋_GB2312"/>
                <w:b/>
                <w:color w:val="auto"/>
                <w:sz w:val="18"/>
                <w:szCs w:val="18"/>
              </w:rPr>
              <w:t>学科（专业）基础课</w:t>
            </w:r>
          </w:p>
        </w:tc>
        <w:tc>
          <w:tcPr>
            <w:tcW w:w="116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4050055</w:t>
            </w:r>
          </w:p>
        </w:tc>
        <w:tc>
          <w:tcPr>
            <w:tcW w:w="3981"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工程造价专业概论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Engineering Cost</w:t>
            </w:r>
          </w:p>
        </w:tc>
        <w:tc>
          <w:tcPr>
            <w:tcW w:w="9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60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3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71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317"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162" w:type="dxa"/>
            <w:gridSpan w:val="3"/>
            <w:tcBorders>
              <w:top w:val="single" w:color="auto" w:sz="6" w:space="0"/>
              <w:left w:val="single" w:color="auto" w:sz="6" w:space="0"/>
              <w:bottom w:val="single" w:color="auto" w:sz="4"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4050056</w:t>
            </w:r>
          </w:p>
        </w:tc>
        <w:tc>
          <w:tcPr>
            <w:tcW w:w="3981"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建设法规A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Construction related Laws and Regulations</w:t>
            </w:r>
          </w:p>
        </w:tc>
        <w:tc>
          <w:tcPr>
            <w:tcW w:w="938"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836"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36"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0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37"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47"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714"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9"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317" w:type="dxa"/>
            <w:tcBorders>
              <w:top w:val="single" w:color="auto" w:sz="6" w:space="0"/>
              <w:left w:val="single" w:color="auto" w:sz="6" w:space="0"/>
              <w:bottom w:val="single" w:color="auto" w:sz="4"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162" w:type="dxa"/>
            <w:gridSpan w:val="3"/>
            <w:tcBorders>
              <w:top w:val="single" w:color="auto" w:sz="4" w:space="0"/>
              <w:left w:val="single" w:color="auto" w:sz="6" w:space="0"/>
              <w:bottom w:val="single" w:color="auto" w:sz="4"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4050062</w:t>
            </w:r>
          </w:p>
        </w:tc>
        <w:tc>
          <w:tcPr>
            <w:tcW w:w="3981" w:type="dxa"/>
            <w:tcBorders>
              <w:top w:val="single" w:color="auto" w:sz="4" w:space="0"/>
              <w:left w:val="single" w:color="auto" w:sz="6" w:space="0"/>
              <w:bottom w:val="single" w:color="auto" w:sz="4" w:space="0"/>
              <w:right w:val="single" w:color="auto" w:sz="6" w:space="0"/>
            </w:tcBorders>
            <w:vAlign w:val="center"/>
          </w:tcPr>
          <w:p>
            <w:pPr>
              <w:adjustRightInd w:val="0"/>
              <w:spacing w:line="240" w:lineRule="exact"/>
              <w:rPr>
                <w:rFonts w:hint="eastAsia" w:eastAsia="仿宋_GB2312"/>
                <w:bCs/>
                <w:color w:val="auto"/>
                <w:sz w:val="18"/>
                <w:szCs w:val="18"/>
                <w:lang w:val="en-US" w:eastAsia="zh-CN"/>
              </w:rPr>
            </w:pPr>
            <w:r>
              <w:rPr>
                <w:rFonts w:eastAsia="仿宋_GB2312"/>
                <w:bCs/>
                <w:color w:val="auto"/>
                <w:sz w:val="18"/>
                <w:szCs w:val="18"/>
              </w:rPr>
              <w:t>经济法</w:t>
            </w:r>
            <w:r>
              <w:rPr>
                <w:rFonts w:hint="eastAsia" w:eastAsia="仿宋_GB2312"/>
                <w:bCs/>
                <w:color w:val="auto"/>
                <w:sz w:val="18"/>
                <w:szCs w:val="18"/>
                <w:lang w:val="en-US" w:eastAsia="zh-CN"/>
              </w:rPr>
              <w:t>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Economic Law</w:t>
            </w:r>
          </w:p>
        </w:tc>
        <w:tc>
          <w:tcPr>
            <w:tcW w:w="938" w:type="dxa"/>
            <w:tcBorders>
              <w:top w:val="single" w:color="auto" w:sz="4"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836" w:type="dxa"/>
            <w:tcBorders>
              <w:top w:val="single" w:color="auto" w:sz="4"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836" w:type="dxa"/>
            <w:tcBorders>
              <w:top w:val="single" w:color="auto" w:sz="4"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603" w:type="dxa"/>
            <w:tcBorders>
              <w:top w:val="single" w:color="auto" w:sz="4"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37" w:type="dxa"/>
            <w:tcBorders>
              <w:top w:val="single" w:color="auto" w:sz="4"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4"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847" w:type="dxa"/>
            <w:tcBorders>
              <w:top w:val="single" w:color="auto" w:sz="4"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714" w:type="dxa"/>
            <w:tcBorders>
              <w:top w:val="single" w:color="auto" w:sz="4"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9" w:type="dxa"/>
            <w:tcBorders>
              <w:top w:val="single" w:color="auto" w:sz="4"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317" w:type="dxa"/>
            <w:tcBorders>
              <w:top w:val="single" w:color="auto" w:sz="4" w:space="0"/>
              <w:left w:val="single" w:color="auto" w:sz="6" w:space="0"/>
              <w:bottom w:val="single" w:color="auto" w:sz="4"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162" w:type="dxa"/>
            <w:gridSpan w:val="3"/>
            <w:tcBorders>
              <w:top w:val="single" w:color="auto" w:sz="4"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4050285</w:t>
            </w:r>
          </w:p>
        </w:tc>
        <w:tc>
          <w:tcPr>
            <w:tcW w:w="3981"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运筹学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Operations Research</w:t>
            </w:r>
          </w:p>
        </w:tc>
        <w:tc>
          <w:tcPr>
            <w:tcW w:w="938"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836"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836"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0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37"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714"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9"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317" w:type="dxa"/>
            <w:tcBorders>
              <w:top w:val="single" w:color="auto" w:sz="4"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continue"/>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143" w:type="dxa"/>
            <w:gridSpan w:val="4"/>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938"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7.0</w:t>
            </w:r>
          </w:p>
        </w:tc>
        <w:tc>
          <w:tcPr>
            <w:tcW w:w="836"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112</w:t>
            </w:r>
          </w:p>
        </w:tc>
        <w:tc>
          <w:tcPr>
            <w:tcW w:w="836"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112</w:t>
            </w:r>
          </w:p>
        </w:tc>
        <w:tc>
          <w:tcPr>
            <w:tcW w:w="603"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63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84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64</w:t>
            </w:r>
          </w:p>
        </w:tc>
        <w:tc>
          <w:tcPr>
            <w:tcW w:w="84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48</w:t>
            </w:r>
          </w:p>
        </w:tc>
        <w:tc>
          <w:tcPr>
            <w:tcW w:w="714"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29"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317" w:type="dxa"/>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业</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课</w:t>
            </w:r>
          </w:p>
        </w:tc>
        <w:tc>
          <w:tcPr>
            <w:tcW w:w="1162" w:type="dxa"/>
            <w:gridSpan w:val="3"/>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4060002</w:t>
            </w:r>
          </w:p>
        </w:tc>
        <w:tc>
          <w:tcPr>
            <w:tcW w:w="3981"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工程经济学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Engineering Economics</w:t>
            </w:r>
          </w:p>
        </w:tc>
        <w:tc>
          <w:tcPr>
            <w:tcW w:w="93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836"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836"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03"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37"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847"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714"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9"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317" w:type="dxa"/>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4060007</w:t>
            </w:r>
          </w:p>
        </w:tc>
        <w:tc>
          <w:tcPr>
            <w:tcW w:w="39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工程招投标与合同管理B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Project Bidding and Contract Management</w:t>
            </w:r>
          </w:p>
        </w:tc>
        <w:tc>
          <w:tcPr>
            <w:tcW w:w="9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0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3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71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317"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4060004</w:t>
            </w:r>
          </w:p>
        </w:tc>
        <w:tc>
          <w:tcPr>
            <w:tcW w:w="39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房地产估价A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Real Estate Appraisal</w:t>
            </w:r>
          </w:p>
        </w:tc>
        <w:tc>
          <w:tcPr>
            <w:tcW w:w="9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0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3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71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317"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2" w:type="dxa"/>
            <w:gridSpan w:val="3"/>
            <w:tcBorders>
              <w:top w:val="single" w:color="auto" w:sz="6" w:space="0"/>
              <w:left w:val="single" w:color="auto" w:sz="6" w:space="0"/>
              <w:bottom w:val="single" w:color="auto" w:sz="4"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4060034</w:t>
            </w:r>
          </w:p>
        </w:tc>
        <w:tc>
          <w:tcPr>
            <w:tcW w:w="3981"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工程项目管理B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Engineering Project Management</w:t>
            </w:r>
          </w:p>
        </w:tc>
        <w:tc>
          <w:tcPr>
            <w:tcW w:w="938"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836"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36"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0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37"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9"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317" w:type="dxa"/>
            <w:tcBorders>
              <w:top w:val="single" w:color="auto" w:sz="6" w:space="0"/>
              <w:left w:val="single" w:color="auto" w:sz="6" w:space="0"/>
              <w:bottom w:val="single" w:color="auto" w:sz="4"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2" w:type="dxa"/>
            <w:gridSpan w:val="3"/>
            <w:tcBorders>
              <w:top w:val="single" w:color="auto" w:sz="4"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4060035</w:t>
            </w:r>
          </w:p>
        </w:tc>
        <w:tc>
          <w:tcPr>
            <w:tcW w:w="3981"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工程造价管理</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Engineering Cost Management</w:t>
            </w:r>
          </w:p>
        </w:tc>
        <w:tc>
          <w:tcPr>
            <w:tcW w:w="938"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836"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36"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0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37"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714"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29"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317" w:type="dxa"/>
            <w:tcBorders>
              <w:top w:val="single" w:color="auto" w:sz="4"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5"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143" w:type="dxa"/>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9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12.0</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192</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192</w:t>
            </w:r>
          </w:p>
        </w:tc>
        <w:tc>
          <w:tcPr>
            <w:tcW w:w="60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63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128</w:t>
            </w: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32</w:t>
            </w:r>
          </w:p>
        </w:tc>
        <w:tc>
          <w:tcPr>
            <w:tcW w:w="71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32</w:t>
            </w:r>
          </w:p>
        </w:tc>
        <w:tc>
          <w:tcPr>
            <w:tcW w:w="62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317"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8" w:type="dxa"/>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必修课合计</w:t>
            </w:r>
          </w:p>
        </w:tc>
        <w:tc>
          <w:tcPr>
            <w:tcW w:w="9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23.0</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372</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372</w:t>
            </w:r>
          </w:p>
        </w:tc>
        <w:tc>
          <w:tcPr>
            <w:tcW w:w="60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63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224</w:t>
            </w: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116</w:t>
            </w:r>
          </w:p>
        </w:tc>
        <w:tc>
          <w:tcPr>
            <w:tcW w:w="71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32</w:t>
            </w:r>
          </w:p>
        </w:tc>
        <w:tc>
          <w:tcPr>
            <w:tcW w:w="62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317"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546" w:type="dxa"/>
            <w:gridSpan w:val="2"/>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选修课</w:t>
            </w:r>
          </w:p>
        </w:tc>
        <w:tc>
          <w:tcPr>
            <w:tcW w:w="4412"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专业拓展课</w:t>
            </w:r>
          </w:p>
        </w:tc>
        <w:tc>
          <w:tcPr>
            <w:tcW w:w="9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22.0</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352</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0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3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200</w:t>
            </w:r>
          </w:p>
        </w:tc>
        <w:tc>
          <w:tcPr>
            <w:tcW w:w="71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152</w:t>
            </w:r>
          </w:p>
        </w:tc>
        <w:tc>
          <w:tcPr>
            <w:tcW w:w="62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317"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546" w:type="dxa"/>
            <w:gridSpan w:val="2"/>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4412"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left="60" w:hanging="60" w:hangingChars="33"/>
              <w:jc w:val="center"/>
              <w:rPr>
                <w:rFonts w:eastAsia="仿宋_GB2312"/>
                <w:b/>
                <w:color w:val="auto"/>
                <w:sz w:val="18"/>
                <w:szCs w:val="18"/>
              </w:rPr>
            </w:pPr>
            <w:r>
              <w:rPr>
                <w:rFonts w:eastAsia="仿宋_GB2312"/>
                <w:b/>
                <w:color w:val="auto"/>
                <w:sz w:val="18"/>
                <w:szCs w:val="18"/>
              </w:rPr>
              <w:t>通识课程（选修）</w:t>
            </w:r>
          </w:p>
        </w:tc>
        <w:tc>
          <w:tcPr>
            <w:tcW w:w="9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0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3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2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317"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8" w:type="dxa"/>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课内学时、学分总合计</w:t>
            </w:r>
          </w:p>
        </w:tc>
        <w:tc>
          <w:tcPr>
            <w:tcW w:w="9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49</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788</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0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
                <w:color w:val="auto"/>
                <w:sz w:val="18"/>
                <w:szCs w:val="18"/>
              </w:rPr>
            </w:pPr>
          </w:p>
        </w:tc>
        <w:tc>
          <w:tcPr>
            <w:tcW w:w="63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224</w:t>
            </w: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348</w:t>
            </w:r>
          </w:p>
        </w:tc>
        <w:tc>
          <w:tcPr>
            <w:tcW w:w="71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216</w:t>
            </w:r>
          </w:p>
        </w:tc>
        <w:tc>
          <w:tcPr>
            <w:tcW w:w="62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317"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11" w:type="dxa"/>
            <w:gridSpan w:val="3"/>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实践教学</w:t>
            </w:r>
          </w:p>
        </w:tc>
        <w:tc>
          <w:tcPr>
            <w:tcW w:w="4047"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9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0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3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5</w:t>
            </w: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71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62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1317"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11" w:type="dxa"/>
            <w:gridSpan w:val="3"/>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4047"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周数</w:t>
            </w:r>
          </w:p>
        </w:tc>
        <w:tc>
          <w:tcPr>
            <w:tcW w:w="9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
                <w:color w:val="auto"/>
                <w:sz w:val="18"/>
                <w:szCs w:val="18"/>
              </w:rPr>
              <w:t>37</w:t>
            </w:r>
            <w:r>
              <w:rPr>
                <w:rFonts w:eastAsia="仿宋_GB2312"/>
                <w:b/>
                <w:color w:val="auto"/>
                <w:sz w:val="18"/>
                <w:szCs w:val="18"/>
              </w:rPr>
              <w:t>+</w:t>
            </w:r>
            <w:r>
              <w:rPr>
                <w:rFonts w:hint="eastAsia" w:eastAsia="仿宋_GB2312"/>
                <w:b/>
                <w:color w:val="auto"/>
                <w:sz w:val="18"/>
                <w:szCs w:val="18"/>
              </w:rPr>
              <w:t>（9周）</w:t>
            </w: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0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3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8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71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62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22</w:t>
            </w:r>
          </w:p>
        </w:tc>
        <w:tc>
          <w:tcPr>
            <w:tcW w:w="1317"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8" w:type="dxa"/>
            <w:gridSpan w:val="5"/>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各学期平均周学时</w:t>
            </w:r>
          </w:p>
        </w:tc>
        <w:tc>
          <w:tcPr>
            <w:tcW w:w="938"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36"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36"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03"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3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84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22.4</w:t>
            </w:r>
          </w:p>
        </w:tc>
        <w:tc>
          <w:tcPr>
            <w:tcW w:w="84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w:t>
            </w:r>
            <w:r>
              <w:rPr>
                <w:rFonts w:eastAsia="仿宋_GB2312"/>
                <w:b/>
                <w:color w:val="auto"/>
                <w:sz w:val="18"/>
                <w:szCs w:val="18"/>
              </w:rPr>
              <w:t>3.2</w:t>
            </w:r>
          </w:p>
        </w:tc>
        <w:tc>
          <w:tcPr>
            <w:tcW w:w="714"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24</w:t>
            </w:r>
          </w:p>
        </w:tc>
        <w:tc>
          <w:tcPr>
            <w:tcW w:w="629"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317" w:type="dxa"/>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bl>
    <w:p>
      <w:pPr>
        <w:adjustRightInd w:val="0"/>
        <w:snapToGrid w:val="0"/>
        <w:spacing w:before="120" w:beforeLines="50" w:line="360" w:lineRule="auto"/>
        <w:ind w:firstLine="480" w:firstLineChars="200"/>
        <w:rPr>
          <w:rFonts w:eastAsia="黑体"/>
          <w:bCs/>
          <w:color w:val="auto"/>
          <w:sz w:val="24"/>
        </w:rPr>
      </w:pPr>
    </w:p>
    <w:p>
      <w:pPr>
        <w:adjustRightInd w:val="0"/>
        <w:snapToGrid w:val="0"/>
        <w:spacing w:before="120" w:beforeLines="50" w:line="360" w:lineRule="auto"/>
        <w:ind w:firstLine="480" w:firstLineChars="200"/>
        <w:rPr>
          <w:rFonts w:eastAsia="黑体"/>
          <w:bCs/>
          <w:color w:val="auto"/>
          <w:sz w:val="24"/>
        </w:rPr>
      </w:pPr>
    </w:p>
    <w:p>
      <w:pPr>
        <w:adjustRightInd w:val="0"/>
        <w:snapToGrid w:val="0"/>
        <w:spacing w:before="120" w:beforeLines="50" w:line="360" w:lineRule="auto"/>
        <w:ind w:firstLine="480" w:firstLineChars="200"/>
        <w:rPr>
          <w:rFonts w:eastAsia="黑体"/>
          <w:bCs/>
          <w:color w:val="auto"/>
          <w:sz w:val="24"/>
        </w:rPr>
      </w:pPr>
    </w:p>
    <w:p>
      <w:pPr>
        <w:adjustRightInd w:val="0"/>
        <w:snapToGrid w:val="0"/>
        <w:spacing w:before="120" w:beforeLines="50" w:line="360" w:lineRule="auto"/>
        <w:ind w:firstLine="480" w:firstLineChars="200"/>
        <w:rPr>
          <w:rFonts w:eastAsia="黑体"/>
          <w:bCs/>
          <w:color w:val="auto"/>
          <w:sz w:val="24"/>
        </w:rPr>
      </w:pPr>
    </w:p>
    <w:p>
      <w:pPr>
        <w:adjustRightInd w:val="0"/>
        <w:snapToGrid w:val="0"/>
        <w:spacing w:before="120" w:beforeLines="50" w:line="360" w:lineRule="auto"/>
        <w:ind w:firstLine="480" w:firstLineChars="200"/>
        <w:rPr>
          <w:rFonts w:eastAsia="黑体"/>
          <w:bCs/>
          <w:color w:val="auto"/>
          <w:sz w:val="24"/>
        </w:rPr>
      </w:pPr>
    </w:p>
    <w:p>
      <w:pPr>
        <w:adjustRightInd w:val="0"/>
        <w:snapToGrid w:val="0"/>
        <w:spacing w:before="120" w:beforeLines="50" w:line="360" w:lineRule="auto"/>
        <w:ind w:firstLine="480" w:firstLineChars="200"/>
        <w:rPr>
          <w:rFonts w:eastAsiaTheme="minorEastAsia"/>
          <w:bCs/>
          <w:color w:val="auto"/>
          <w:kern w:val="0"/>
          <w:sz w:val="24"/>
        </w:rPr>
      </w:pPr>
      <w:r>
        <w:rPr>
          <w:rFonts w:eastAsia="黑体"/>
          <w:bCs/>
          <w:color w:val="auto"/>
          <w:sz w:val="24"/>
        </w:rPr>
        <w:t>表Ⅱ 选修课课程设置一览表</w:t>
      </w:r>
      <w:r>
        <w:rPr>
          <w:rFonts w:hint="eastAsia" w:eastAsia="黑体"/>
          <w:bCs/>
          <w:color w:val="auto"/>
          <w:sz w:val="24"/>
        </w:rPr>
        <w:t xml:space="preserve">                                                                </w:t>
      </w:r>
      <w:r>
        <w:rPr>
          <w:rFonts w:eastAsia="黑体"/>
          <w:bCs/>
          <w:color w:val="auto"/>
          <w:sz w:val="24"/>
        </w:rPr>
        <w:t>工程造价专业（3+2）</w:t>
      </w:r>
    </w:p>
    <w:tbl>
      <w:tblPr>
        <w:tblStyle w:val="23"/>
        <w:tblW w:w="1416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fixed"/>
        <w:tblCellMar>
          <w:top w:w="0" w:type="dxa"/>
          <w:left w:w="108" w:type="dxa"/>
          <w:bottom w:w="0" w:type="dxa"/>
          <w:right w:w="108" w:type="dxa"/>
        </w:tblCellMar>
      </w:tblPr>
      <w:tblGrid>
        <w:gridCol w:w="906"/>
        <w:gridCol w:w="979"/>
        <w:gridCol w:w="3751"/>
        <w:gridCol w:w="666"/>
        <w:gridCol w:w="892"/>
        <w:gridCol w:w="708"/>
        <w:gridCol w:w="657"/>
        <w:gridCol w:w="671"/>
        <w:gridCol w:w="1141"/>
        <w:gridCol w:w="864"/>
        <w:gridCol w:w="873"/>
        <w:gridCol w:w="205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restart"/>
            <w:vAlign w:val="center"/>
          </w:tcPr>
          <w:p>
            <w:pPr>
              <w:adjustRightInd w:val="0"/>
              <w:spacing w:line="240" w:lineRule="exact"/>
              <w:jc w:val="center"/>
              <w:rPr>
                <w:rFonts w:eastAsia="仿宋_GB2312"/>
                <w:b/>
                <w:color w:val="auto"/>
                <w:sz w:val="18"/>
                <w:szCs w:val="18"/>
              </w:rPr>
            </w:pPr>
            <w:r>
              <w:rPr>
                <w:rFonts w:eastAsia="仿宋_GB2312"/>
                <w:b/>
                <w:color w:val="auto"/>
                <w:sz w:val="18"/>
                <w:szCs w:val="18"/>
              </w:rPr>
              <w:t>课程</w:t>
            </w:r>
          </w:p>
          <w:p>
            <w:pPr>
              <w:adjustRightInd w:val="0"/>
              <w:spacing w:line="240" w:lineRule="exact"/>
              <w:jc w:val="center"/>
              <w:rPr>
                <w:rFonts w:eastAsia="仿宋_GB2312"/>
                <w:b/>
                <w:color w:val="auto"/>
                <w:sz w:val="18"/>
                <w:szCs w:val="18"/>
              </w:rPr>
            </w:pPr>
            <w:r>
              <w:rPr>
                <w:rFonts w:eastAsia="仿宋_GB2312"/>
                <w:b/>
                <w:color w:val="auto"/>
                <w:sz w:val="18"/>
                <w:szCs w:val="18"/>
              </w:rPr>
              <w:t>类型</w:t>
            </w:r>
          </w:p>
        </w:tc>
        <w:tc>
          <w:tcPr>
            <w:tcW w:w="979" w:type="dxa"/>
            <w:vMerge w:val="restart"/>
            <w:vAlign w:val="center"/>
          </w:tcPr>
          <w:p>
            <w:pPr>
              <w:adjustRightInd w:val="0"/>
              <w:spacing w:line="240" w:lineRule="exact"/>
              <w:jc w:val="center"/>
              <w:rPr>
                <w:rFonts w:eastAsia="仿宋_GB2312"/>
                <w:b/>
                <w:color w:val="auto"/>
                <w:sz w:val="18"/>
                <w:szCs w:val="18"/>
              </w:rPr>
            </w:pPr>
            <w:r>
              <w:rPr>
                <w:rFonts w:eastAsia="仿宋_GB2312"/>
                <w:b/>
                <w:color w:val="auto"/>
                <w:sz w:val="18"/>
                <w:szCs w:val="18"/>
              </w:rPr>
              <w:t>课程代码</w:t>
            </w:r>
          </w:p>
        </w:tc>
        <w:tc>
          <w:tcPr>
            <w:tcW w:w="3751" w:type="dxa"/>
            <w:vMerge w:val="restart"/>
            <w:vAlign w:val="center"/>
          </w:tcPr>
          <w:p>
            <w:pPr>
              <w:adjustRightInd w:val="0"/>
              <w:spacing w:line="240" w:lineRule="exact"/>
              <w:jc w:val="center"/>
              <w:rPr>
                <w:rFonts w:eastAsia="仿宋_GB2312"/>
                <w:b/>
                <w:color w:val="auto"/>
                <w:sz w:val="18"/>
                <w:szCs w:val="18"/>
              </w:rPr>
            </w:pPr>
            <w:r>
              <w:rPr>
                <w:rFonts w:eastAsia="仿宋_GB2312"/>
                <w:b/>
                <w:color w:val="auto"/>
                <w:sz w:val="18"/>
                <w:szCs w:val="18"/>
              </w:rPr>
              <w:t>课程名称</w:t>
            </w:r>
          </w:p>
        </w:tc>
        <w:tc>
          <w:tcPr>
            <w:tcW w:w="666" w:type="dxa"/>
            <w:vMerge w:val="restart"/>
            <w:vAlign w:val="center"/>
          </w:tcPr>
          <w:p>
            <w:pPr>
              <w:adjustRightInd w:val="0"/>
              <w:spacing w:line="240" w:lineRule="exact"/>
              <w:jc w:val="center"/>
              <w:rPr>
                <w:rFonts w:eastAsia="仿宋_GB2312"/>
                <w:b/>
                <w:color w:val="auto"/>
                <w:sz w:val="18"/>
                <w:szCs w:val="18"/>
              </w:rPr>
            </w:pPr>
            <w:r>
              <w:rPr>
                <w:rFonts w:eastAsia="仿宋_GB2312"/>
                <w:b/>
                <w:color w:val="auto"/>
                <w:sz w:val="18"/>
                <w:szCs w:val="18"/>
              </w:rPr>
              <w:t>学分</w:t>
            </w:r>
          </w:p>
        </w:tc>
        <w:tc>
          <w:tcPr>
            <w:tcW w:w="2928" w:type="dxa"/>
            <w:gridSpan w:val="4"/>
            <w:vAlign w:val="center"/>
          </w:tcPr>
          <w:p>
            <w:pPr>
              <w:adjustRightInd w:val="0"/>
              <w:spacing w:line="240" w:lineRule="exact"/>
              <w:jc w:val="center"/>
              <w:rPr>
                <w:rFonts w:eastAsia="仿宋_GB2312"/>
                <w:b/>
                <w:color w:val="auto"/>
                <w:sz w:val="18"/>
                <w:szCs w:val="18"/>
              </w:rPr>
            </w:pPr>
            <w:r>
              <w:rPr>
                <w:rFonts w:eastAsia="仿宋_GB2312"/>
                <w:b/>
                <w:color w:val="auto"/>
                <w:sz w:val="18"/>
                <w:szCs w:val="18"/>
              </w:rPr>
              <w:t>学时分配</w:t>
            </w:r>
          </w:p>
        </w:tc>
        <w:tc>
          <w:tcPr>
            <w:tcW w:w="1141" w:type="dxa"/>
            <w:vMerge w:val="restart"/>
            <w:vAlign w:val="center"/>
          </w:tcPr>
          <w:p>
            <w:pPr>
              <w:adjustRightInd w:val="0"/>
              <w:spacing w:line="240" w:lineRule="exact"/>
              <w:jc w:val="center"/>
              <w:rPr>
                <w:rFonts w:eastAsia="仿宋_GB2312"/>
                <w:b/>
                <w:color w:val="auto"/>
                <w:sz w:val="18"/>
                <w:szCs w:val="18"/>
              </w:rPr>
            </w:pPr>
            <w:r>
              <w:rPr>
                <w:rFonts w:eastAsia="仿宋_GB2312"/>
                <w:b/>
                <w:color w:val="auto"/>
                <w:sz w:val="18"/>
                <w:szCs w:val="18"/>
              </w:rPr>
              <w:t>开设学期</w:t>
            </w:r>
          </w:p>
        </w:tc>
        <w:tc>
          <w:tcPr>
            <w:tcW w:w="1737" w:type="dxa"/>
            <w:gridSpan w:val="2"/>
            <w:vMerge w:val="restart"/>
            <w:vAlign w:val="center"/>
          </w:tcPr>
          <w:p>
            <w:pPr>
              <w:adjustRightInd w:val="0"/>
              <w:spacing w:line="240" w:lineRule="exact"/>
              <w:jc w:val="center"/>
              <w:rPr>
                <w:rFonts w:eastAsia="仿宋_GB2312"/>
                <w:b/>
                <w:color w:val="auto"/>
                <w:sz w:val="18"/>
                <w:szCs w:val="18"/>
              </w:rPr>
            </w:pPr>
            <w:r>
              <w:rPr>
                <w:rFonts w:eastAsia="仿宋_GB2312"/>
                <w:b/>
                <w:color w:val="auto"/>
                <w:sz w:val="18"/>
                <w:szCs w:val="18"/>
              </w:rPr>
              <w:t>模块最低选修</w:t>
            </w:r>
          </w:p>
          <w:p>
            <w:pPr>
              <w:adjustRightInd w:val="0"/>
              <w:spacing w:line="240" w:lineRule="exact"/>
              <w:jc w:val="center"/>
              <w:rPr>
                <w:rFonts w:eastAsia="仿宋_GB2312"/>
                <w:b/>
                <w:color w:val="auto"/>
                <w:sz w:val="18"/>
                <w:szCs w:val="18"/>
              </w:rPr>
            </w:pPr>
            <w:r>
              <w:rPr>
                <w:rFonts w:eastAsia="仿宋_GB2312"/>
                <w:b/>
                <w:color w:val="auto"/>
                <w:sz w:val="18"/>
                <w:szCs w:val="18"/>
              </w:rPr>
              <w:t>学时学分</w:t>
            </w:r>
          </w:p>
        </w:tc>
        <w:tc>
          <w:tcPr>
            <w:tcW w:w="2054" w:type="dxa"/>
            <w:vMerge w:val="restart"/>
            <w:vAlign w:val="center"/>
          </w:tcPr>
          <w:p>
            <w:pPr>
              <w:adjustRightInd w:val="0"/>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tcBorders>
              <w:bottom w:val="single" w:color="auto" w:sz="4" w:space="0"/>
            </w:tcBorders>
            <w:shd w:val="clear" w:color="auto" w:fill="E6E6E6"/>
            <w:vAlign w:val="center"/>
          </w:tcPr>
          <w:p>
            <w:pPr>
              <w:adjustRightInd w:val="0"/>
              <w:spacing w:line="240" w:lineRule="exact"/>
              <w:jc w:val="center"/>
              <w:rPr>
                <w:rFonts w:eastAsia="仿宋_GB2312"/>
                <w:bCs/>
                <w:color w:val="auto"/>
                <w:sz w:val="18"/>
                <w:szCs w:val="18"/>
              </w:rPr>
            </w:pPr>
          </w:p>
        </w:tc>
        <w:tc>
          <w:tcPr>
            <w:tcW w:w="979" w:type="dxa"/>
            <w:vMerge w:val="continue"/>
            <w:shd w:val="clear" w:color="auto" w:fill="E6E6E6"/>
            <w:vAlign w:val="center"/>
          </w:tcPr>
          <w:p>
            <w:pPr>
              <w:adjustRightInd w:val="0"/>
              <w:spacing w:line="240" w:lineRule="exact"/>
              <w:jc w:val="center"/>
              <w:rPr>
                <w:rFonts w:eastAsia="仿宋_GB2312"/>
                <w:bCs/>
                <w:color w:val="auto"/>
                <w:sz w:val="18"/>
                <w:szCs w:val="18"/>
              </w:rPr>
            </w:pPr>
          </w:p>
        </w:tc>
        <w:tc>
          <w:tcPr>
            <w:tcW w:w="3751" w:type="dxa"/>
            <w:vMerge w:val="continue"/>
            <w:shd w:val="clear" w:color="auto" w:fill="E6E6E6"/>
            <w:vAlign w:val="center"/>
          </w:tcPr>
          <w:p>
            <w:pPr>
              <w:adjustRightInd w:val="0"/>
              <w:spacing w:line="240" w:lineRule="exact"/>
              <w:jc w:val="center"/>
              <w:rPr>
                <w:rFonts w:eastAsia="仿宋_GB2312"/>
                <w:bCs/>
                <w:color w:val="auto"/>
                <w:sz w:val="18"/>
                <w:szCs w:val="18"/>
              </w:rPr>
            </w:pPr>
          </w:p>
        </w:tc>
        <w:tc>
          <w:tcPr>
            <w:tcW w:w="666" w:type="dxa"/>
            <w:vMerge w:val="continue"/>
            <w:shd w:val="clear" w:color="auto" w:fill="E6E6E6"/>
            <w:vAlign w:val="center"/>
          </w:tcPr>
          <w:p>
            <w:pPr>
              <w:adjustRightInd w:val="0"/>
              <w:spacing w:line="240" w:lineRule="exact"/>
              <w:jc w:val="center"/>
              <w:rPr>
                <w:rFonts w:eastAsia="仿宋_GB2312"/>
                <w:bCs/>
                <w:color w:val="auto"/>
                <w:sz w:val="18"/>
                <w:szCs w:val="18"/>
              </w:rPr>
            </w:pPr>
          </w:p>
        </w:tc>
        <w:tc>
          <w:tcPr>
            <w:tcW w:w="892" w:type="dxa"/>
            <w:shd w:val="clear" w:color="auto" w:fill="auto"/>
            <w:vAlign w:val="center"/>
          </w:tcPr>
          <w:p>
            <w:pPr>
              <w:adjustRightInd w:val="0"/>
              <w:spacing w:line="240" w:lineRule="exact"/>
              <w:jc w:val="center"/>
              <w:rPr>
                <w:rFonts w:eastAsia="仿宋_GB2312"/>
                <w:b/>
                <w:color w:val="auto"/>
                <w:sz w:val="18"/>
                <w:szCs w:val="18"/>
              </w:rPr>
            </w:pPr>
            <w:r>
              <w:rPr>
                <w:rFonts w:eastAsia="仿宋_GB2312"/>
                <w:b/>
                <w:color w:val="auto"/>
                <w:sz w:val="18"/>
                <w:szCs w:val="18"/>
              </w:rPr>
              <w:t>总学时</w:t>
            </w:r>
          </w:p>
        </w:tc>
        <w:tc>
          <w:tcPr>
            <w:tcW w:w="708" w:type="dxa"/>
            <w:shd w:val="clear" w:color="auto" w:fill="auto"/>
            <w:vAlign w:val="center"/>
          </w:tcPr>
          <w:p>
            <w:pPr>
              <w:adjustRightInd w:val="0"/>
              <w:spacing w:line="240" w:lineRule="exact"/>
              <w:jc w:val="center"/>
              <w:rPr>
                <w:rFonts w:eastAsia="仿宋_GB2312"/>
                <w:b/>
                <w:color w:val="auto"/>
                <w:sz w:val="18"/>
                <w:szCs w:val="18"/>
              </w:rPr>
            </w:pPr>
            <w:r>
              <w:rPr>
                <w:rFonts w:eastAsia="仿宋_GB2312"/>
                <w:b/>
                <w:color w:val="auto"/>
                <w:sz w:val="18"/>
                <w:szCs w:val="18"/>
              </w:rPr>
              <w:t>理论</w:t>
            </w:r>
          </w:p>
        </w:tc>
        <w:tc>
          <w:tcPr>
            <w:tcW w:w="657" w:type="dxa"/>
            <w:shd w:val="clear" w:color="auto" w:fill="auto"/>
            <w:vAlign w:val="center"/>
          </w:tcPr>
          <w:p>
            <w:pPr>
              <w:adjustRightInd w:val="0"/>
              <w:spacing w:line="240" w:lineRule="exact"/>
              <w:jc w:val="center"/>
              <w:rPr>
                <w:rFonts w:eastAsia="仿宋_GB2312"/>
                <w:b/>
                <w:color w:val="auto"/>
                <w:sz w:val="18"/>
                <w:szCs w:val="18"/>
              </w:rPr>
            </w:pPr>
            <w:r>
              <w:rPr>
                <w:rFonts w:eastAsia="仿宋_GB2312"/>
                <w:b/>
                <w:color w:val="auto"/>
                <w:sz w:val="18"/>
                <w:szCs w:val="18"/>
              </w:rPr>
              <w:t>实验</w:t>
            </w:r>
          </w:p>
        </w:tc>
        <w:tc>
          <w:tcPr>
            <w:tcW w:w="671" w:type="dxa"/>
            <w:shd w:val="clear" w:color="auto" w:fill="auto"/>
            <w:vAlign w:val="center"/>
          </w:tcPr>
          <w:p>
            <w:pPr>
              <w:adjustRightInd w:val="0"/>
              <w:spacing w:line="240" w:lineRule="exact"/>
              <w:jc w:val="center"/>
              <w:rPr>
                <w:rFonts w:eastAsia="仿宋_GB2312"/>
                <w:b/>
                <w:color w:val="auto"/>
                <w:sz w:val="18"/>
                <w:szCs w:val="18"/>
              </w:rPr>
            </w:pPr>
            <w:r>
              <w:rPr>
                <w:rFonts w:eastAsia="仿宋_GB2312"/>
                <w:b/>
                <w:color w:val="auto"/>
                <w:sz w:val="18"/>
                <w:szCs w:val="18"/>
              </w:rPr>
              <w:t>线上</w:t>
            </w:r>
          </w:p>
        </w:tc>
        <w:tc>
          <w:tcPr>
            <w:tcW w:w="1141" w:type="dxa"/>
            <w:vMerge w:val="continue"/>
            <w:shd w:val="clear" w:color="auto" w:fill="E6E6E6"/>
            <w:vAlign w:val="center"/>
          </w:tcPr>
          <w:p>
            <w:pPr>
              <w:adjustRightInd w:val="0"/>
              <w:spacing w:line="240" w:lineRule="exact"/>
              <w:jc w:val="center"/>
              <w:rPr>
                <w:rFonts w:eastAsia="仿宋_GB2312"/>
                <w:bCs/>
                <w:color w:val="auto"/>
                <w:sz w:val="18"/>
                <w:szCs w:val="18"/>
              </w:rPr>
            </w:pPr>
          </w:p>
        </w:tc>
        <w:tc>
          <w:tcPr>
            <w:tcW w:w="1737" w:type="dxa"/>
            <w:gridSpan w:val="2"/>
            <w:vMerge w:val="continue"/>
            <w:shd w:val="clear" w:color="auto" w:fill="E6E6E6"/>
            <w:vAlign w:val="center"/>
          </w:tcPr>
          <w:p>
            <w:pPr>
              <w:adjustRightInd w:val="0"/>
              <w:spacing w:line="240" w:lineRule="exact"/>
              <w:jc w:val="center"/>
              <w:rPr>
                <w:rFonts w:eastAsia="仿宋_GB2312"/>
                <w:bCs/>
                <w:color w:val="auto"/>
                <w:sz w:val="18"/>
                <w:szCs w:val="18"/>
              </w:rPr>
            </w:pPr>
          </w:p>
        </w:tc>
        <w:tc>
          <w:tcPr>
            <w:tcW w:w="2054" w:type="dxa"/>
            <w:vMerge w:val="continue"/>
            <w:shd w:val="clear" w:color="auto" w:fill="E6E6E6"/>
            <w:vAlign w:val="center"/>
          </w:tcPr>
          <w:p>
            <w:pPr>
              <w:adjustRightInd w:val="0"/>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restart"/>
            <w:vAlign w:val="center"/>
          </w:tcPr>
          <w:p>
            <w:pPr>
              <w:adjustRightInd w:val="0"/>
              <w:spacing w:line="240" w:lineRule="exact"/>
              <w:jc w:val="center"/>
              <w:rPr>
                <w:rFonts w:hint="default" w:eastAsia="仿宋_GB2312"/>
                <w:bCs/>
                <w:color w:val="auto"/>
                <w:sz w:val="18"/>
                <w:szCs w:val="18"/>
                <w:lang w:val="en-US" w:eastAsia="zh-CN"/>
              </w:rPr>
            </w:pPr>
            <w:r>
              <w:rPr>
                <w:rFonts w:hint="eastAsia" w:eastAsia="仿宋_GB2312"/>
                <w:bCs/>
                <w:color w:val="auto"/>
                <w:sz w:val="18"/>
                <w:szCs w:val="18"/>
                <w:lang w:val="en-US" w:eastAsia="zh-CN"/>
              </w:rPr>
              <w:t>专业拓展课课程（选修）</w:t>
            </w:r>
          </w:p>
        </w:tc>
        <w:tc>
          <w:tcPr>
            <w:tcW w:w="979" w:type="dxa"/>
            <w:tcBorders>
              <w:top w:val="single" w:color="auto" w:sz="4" w:space="0"/>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4070064</w:t>
            </w:r>
          </w:p>
        </w:tc>
        <w:tc>
          <w:tcPr>
            <w:tcW w:w="3751" w:type="dxa"/>
            <w:tcBorders>
              <w:top w:val="single" w:color="auto" w:sz="4" w:space="0"/>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物业管理</w:t>
            </w:r>
          </w:p>
          <w:p>
            <w:pPr>
              <w:adjustRightInd w:val="0"/>
              <w:spacing w:line="240" w:lineRule="exact"/>
              <w:rPr>
                <w:rFonts w:eastAsia="仿宋_GB2312"/>
                <w:bCs/>
                <w:color w:val="auto"/>
                <w:sz w:val="18"/>
                <w:szCs w:val="18"/>
              </w:rPr>
            </w:pPr>
            <w:r>
              <w:rPr>
                <w:rFonts w:eastAsia="仿宋_GB2312"/>
                <w:bCs/>
                <w:color w:val="auto"/>
                <w:sz w:val="18"/>
                <w:szCs w:val="18"/>
              </w:rPr>
              <w:t>Property Management</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bottom w:val="single" w:color="auto" w:sz="4" w:space="0"/>
            </w:tcBorders>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w:t>
            </w:r>
          </w:p>
        </w:tc>
        <w:tc>
          <w:tcPr>
            <w:tcW w:w="1737" w:type="dxa"/>
            <w:gridSpan w:val="2"/>
            <w:vMerge w:val="restart"/>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经济与管理模块</w:t>
            </w:r>
          </w:p>
          <w:p>
            <w:pPr>
              <w:adjustRightInd w:val="0"/>
              <w:spacing w:line="240" w:lineRule="exact"/>
              <w:jc w:val="center"/>
              <w:rPr>
                <w:rFonts w:eastAsia="仿宋_GB2312"/>
                <w:bCs/>
                <w:color w:val="auto"/>
                <w:sz w:val="18"/>
                <w:szCs w:val="18"/>
              </w:rPr>
            </w:pPr>
            <w:r>
              <w:rPr>
                <w:rFonts w:eastAsia="仿宋_GB2312"/>
                <w:bCs/>
                <w:color w:val="auto"/>
                <w:sz w:val="18"/>
                <w:szCs w:val="18"/>
              </w:rPr>
              <w:t>（最低选修4.0学分）</w:t>
            </w:r>
          </w:p>
        </w:tc>
        <w:tc>
          <w:tcPr>
            <w:tcW w:w="2054"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4070025</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工程财务*</w:t>
            </w:r>
          </w:p>
          <w:p>
            <w:pPr>
              <w:adjustRightInd w:val="0"/>
              <w:spacing w:line="240" w:lineRule="exact"/>
              <w:rPr>
                <w:rFonts w:eastAsia="仿宋_GB2312"/>
                <w:bCs/>
                <w:color w:val="auto"/>
                <w:sz w:val="18"/>
                <w:szCs w:val="18"/>
              </w:rPr>
            </w:pPr>
            <w:r>
              <w:rPr>
                <w:rFonts w:eastAsia="仿宋_GB2312"/>
                <w:bCs/>
                <w:color w:val="auto"/>
                <w:sz w:val="18"/>
                <w:szCs w:val="18"/>
              </w:rPr>
              <w:t>Engineering Finance</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4070063</w:t>
            </w:r>
          </w:p>
        </w:tc>
        <w:tc>
          <w:tcPr>
            <w:tcW w:w="3751" w:type="dxa"/>
            <w:tcBorders>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建设项目融资</w:t>
            </w:r>
          </w:p>
          <w:p>
            <w:pPr>
              <w:adjustRightInd w:val="0"/>
              <w:spacing w:line="240" w:lineRule="exact"/>
              <w:rPr>
                <w:rFonts w:eastAsia="仿宋_GB2312"/>
                <w:bCs/>
                <w:color w:val="auto"/>
                <w:sz w:val="18"/>
                <w:szCs w:val="18"/>
              </w:rPr>
            </w:pPr>
            <w:r>
              <w:rPr>
                <w:rFonts w:eastAsia="仿宋_GB2312"/>
                <w:bCs/>
                <w:color w:val="auto"/>
                <w:sz w:val="18"/>
                <w:szCs w:val="18"/>
              </w:rPr>
              <w:t>Construction Project Financing</w:t>
            </w:r>
          </w:p>
        </w:tc>
        <w:tc>
          <w:tcPr>
            <w:tcW w:w="666"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bottom w:val="single" w:color="auto" w:sz="4" w:space="0"/>
            </w:tcBorders>
          </w:tcPr>
          <w:p>
            <w:pPr>
              <w:adjustRightInd w:val="0"/>
              <w:spacing w:line="240" w:lineRule="exact"/>
              <w:jc w:val="center"/>
              <w:rPr>
                <w:rFonts w:eastAsia="仿宋_GB2312"/>
                <w:bCs/>
                <w:color w:val="auto"/>
                <w:sz w:val="18"/>
                <w:szCs w:val="18"/>
              </w:rPr>
            </w:pPr>
          </w:p>
        </w:tc>
        <w:tc>
          <w:tcPr>
            <w:tcW w:w="1141"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tcBorders>
              <w:bottom w:val="single" w:color="auto" w:sz="4" w:space="0"/>
            </w:tcBorders>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317"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top w:val="single" w:color="auto" w:sz="4" w:space="0"/>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4070069</w:t>
            </w:r>
          </w:p>
        </w:tc>
        <w:tc>
          <w:tcPr>
            <w:tcW w:w="3751" w:type="dxa"/>
            <w:tcBorders>
              <w:top w:val="single" w:color="auto" w:sz="4" w:space="0"/>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工程监理</w:t>
            </w:r>
          </w:p>
          <w:p>
            <w:pPr>
              <w:adjustRightInd w:val="0"/>
              <w:spacing w:line="240" w:lineRule="exact"/>
              <w:rPr>
                <w:rFonts w:eastAsia="仿宋_GB2312"/>
                <w:bCs/>
                <w:color w:val="auto"/>
                <w:sz w:val="18"/>
                <w:szCs w:val="18"/>
              </w:rPr>
            </w:pPr>
            <w:r>
              <w:rPr>
                <w:rFonts w:eastAsia="仿宋_GB2312"/>
                <w:bCs/>
                <w:color w:val="auto"/>
                <w:sz w:val="18"/>
                <w:szCs w:val="18"/>
              </w:rPr>
              <w:t>Engineering Supervision</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bottom w:val="single" w:color="auto" w:sz="4" w:space="0"/>
            </w:tcBorders>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163"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top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4070068</w:t>
            </w:r>
          </w:p>
        </w:tc>
        <w:tc>
          <w:tcPr>
            <w:tcW w:w="3751" w:type="dxa"/>
            <w:tcBorders>
              <w:top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房地产开发与经营</w:t>
            </w:r>
          </w:p>
          <w:p>
            <w:pPr>
              <w:adjustRightInd w:val="0"/>
              <w:spacing w:line="240" w:lineRule="exact"/>
              <w:rPr>
                <w:rFonts w:eastAsia="仿宋_GB2312"/>
                <w:bCs/>
                <w:color w:val="auto"/>
                <w:sz w:val="18"/>
                <w:szCs w:val="18"/>
              </w:rPr>
            </w:pPr>
            <w:r>
              <w:rPr>
                <w:rFonts w:eastAsia="仿宋_GB2312"/>
                <w:bCs/>
                <w:color w:val="auto"/>
                <w:sz w:val="18"/>
                <w:szCs w:val="18"/>
              </w:rPr>
              <w:t>Real Estate Development and Operation</w:t>
            </w:r>
          </w:p>
        </w:tc>
        <w:tc>
          <w:tcPr>
            <w:tcW w:w="666"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tcBorders>
          </w:tcPr>
          <w:p>
            <w:pPr>
              <w:adjustRightInd w:val="0"/>
              <w:spacing w:line="240" w:lineRule="exact"/>
              <w:jc w:val="center"/>
              <w:rPr>
                <w:rFonts w:eastAsia="仿宋_GB2312"/>
                <w:bCs/>
                <w:color w:val="auto"/>
                <w:sz w:val="18"/>
                <w:szCs w:val="18"/>
              </w:rPr>
            </w:pPr>
          </w:p>
        </w:tc>
        <w:tc>
          <w:tcPr>
            <w:tcW w:w="1141"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163"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top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4070062</w:t>
            </w:r>
          </w:p>
        </w:tc>
        <w:tc>
          <w:tcPr>
            <w:tcW w:w="3751" w:type="dxa"/>
            <w:tcBorders>
              <w:top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建设工程项目审计</w:t>
            </w:r>
          </w:p>
          <w:p>
            <w:pPr>
              <w:adjustRightInd w:val="0"/>
              <w:spacing w:line="240" w:lineRule="exact"/>
              <w:rPr>
                <w:rFonts w:eastAsia="仿宋_GB2312"/>
                <w:bCs/>
                <w:color w:val="auto"/>
                <w:sz w:val="18"/>
                <w:szCs w:val="18"/>
              </w:rPr>
            </w:pPr>
            <w:r>
              <w:rPr>
                <w:rFonts w:eastAsia="仿宋_GB2312"/>
                <w:bCs/>
                <w:color w:val="auto"/>
                <w:sz w:val="18"/>
                <w:szCs w:val="18"/>
              </w:rPr>
              <w:t>Construction Project Audit</w:t>
            </w:r>
          </w:p>
        </w:tc>
        <w:tc>
          <w:tcPr>
            <w:tcW w:w="666"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tcBorders>
          </w:tcPr>
          <w:p>
            <w:pPr>
              <w:adjustRightInd w:val="0"/>
              <w:spacing w:line="240" w:lineRule="exact"/>
              <w:jc w:val="center"/>
              <w:rPr>
                <w:rFonts w:eastAsia="仿宋_GB2312"/>
                <w:bCs/>
                <w:color w:val="auto"/>
                <w:sz w:val="18"/>
                <w:szCs w:val="18"/>
              </w:rPr>
            </w:pPr>
          </w:p>
        </w:tc>
        <w:tc>
          <w:tcPr>
            <w:tcW w:w="1141"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163"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top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4070843</w:t>
            </w:r>
          </w:p>
        </w:tc>
        <w:tc>
          <w:tcPr>
            <w:tcW w:w="3751" w:type="dxa"/>
            <w:tcBorders>
              <w:top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项目风险管理与保险</w:t>
            </w:r>
          </w:p>
          <w:p>
            <w:pPr>
              <w:adjustRightInd w:val="0"/>
              <w:spacing w:line="240" w:lineRule="exact"/>
              <w:rPr>
                <w:rFonts w:eastAsia="仿宋_GB2312"/>
                <w:bCs/>
                <w:color w:val="auto"/>
                <w:sz w:val="18"/>
                <w:szCs w:val="18"/>
              </w:rPr>
            </w:pPr>
            <w:r>
              <w:rPr>
                <w:rFonts w:eastAsia="仿宋_GB2312"/>
                <w:bCs/>
                <w:color w:val="auto"/>
                <w:sz w:val="18"/>
                <w:szCs w:val="18"/>
              </w:rPr>
              <w:t>Engineering Project Risk Management and Insurance</w:t>
            </w:r>
          </w:p>
        </w:tc>
        <w:tc>
          <w:tcPr>
            <w:tcW w:w="666"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tcBorders>
          </w:tcPr>
          <w:p>
            <w:pPr>
              <w:adjustRightInd w:val="0"/>
              <w:spacing w:line="240" w:lineRule="exact"/>
              <w:jc w:val="center"/>
              <w:rPr>
                <w:rFonts w:eastAsia="仿宋_GB2312"/>
                <w:bCs/>
                <w:color w:val="auto"/>
                <w:sz w:val="18"/>
                <w:szCs w:val="18"/>
              </w:rPr>
            </w:pPr>
          </w:p>
        </w:tc>
        <w:tc>
          <w:tcPr>
            <w:tcW w:w="1141"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4070793</w:t>
            </w:r>
          </w:p>
        </w:tc>
        <w:tc>
          <w:tcPr>
            <w:tcW w:w="3751" w:type="dxa"/>
            <w:tcBorders>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工程造价案例分析*</w:t>
            </w:r>
          </w:p>
          <w:p>
            <w:pPr>
              <w:adjustRightInd w:val="0"/>
              <w:spacing w:line="240" w:lineRule="exact"/>
              <w:rPr>
                <w:rFonts w:eastAsia="仿宋_GB2312"/>
                <w:bCs/>
                <w:color w:val="auto"/>
                <w:sz w:val="18"/>
                <w:szCs w:val="18"/>
              </w:rPr>
            </w:pPr>
            <w:r>
              <w:rPr>
                <w:rFonts w:eastAsia="仿宋_GB2312"/>
                <w:bCs/>
                <w:color w:val="auto"/>
                <w:sz w:val="18"/>
                <w:szCs w:val="18"/>
              </w:rPr>
              <w:t>Case Analysis of Project Cost*</w:t>
            </w:r>
          </w:p>
        </w:tc>
        <w:tc>
          <w:tcPr>
            <w:tcW w:w="666"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bottom w:val="single" w:color="auto" w:sz="4" w:space="0"/>
            </w:tcBorders>
          </w:tcPr>
          <w:p>
            <w:pPr>
              <w:adjustRightInd w:val="0"/>
              <w:spacing w:line="240" w:lineRule="exact"/>
              <w:jc w:val="center"/>
              <w:rPr>
                <w:rFonts w:eastAsia="仿宋_GB2312"/>
                <w:bCs/>
                <w:color w:val="auto"/>
                <w:sz w:val="18"/>
                <w:szCs w:val="18"/>
              </w:rPr>
            </w:pPr>
          </w:p>
        </w:tc>
        <w:tc>
          <w:tcPr>
            <w:tcW w:w="1141"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tcBorders>
              <w:bottom w:val="single" w:color="auto" w:sz="4" w:space="0"/>
            </w:tcBorders>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top w:val="single" w:color="auto" w:sz="4" w:space="0"/>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4070946</w:t>
            </w:r>
          </w:p>
        </w:tc>
        <w:tc>
          <w:tcPr>
            <w:tcW w:w="3751" w:type="dxa"/>
            <w:tcBorders>
              <w:top w:val="single" w:color="auto" w:sz="4" w:space="0"/>
              <w:bottom w:val="single" w:color="auto" w:sz="4" w:space="0"/>
            </w:tcBorders>
            <w:vAlign w:val="center"/>
          </w:tcPr>
          <w:p>
            <w:pPr>
              <w:adjustRightInd w:val="0"/>
              <w:spacing w:line="240" w:lineRule="exact"/>
              <w:rPr>
                <w:rFonts w:eastAsia="仿宋_GB2312"/>
                <w:bCs/>
                <w:color w:val="auto"/>
                <w:sz w:val="18"/>
                <w:szCs w:val="18"/>
              </w:rPr>
            </w:pPr>
            <w:r>
              <w:rPr>
                <w:rFonts w:hint="eastAsia" w:eastAsia="仿宋_GB2312"/>
                <w:bCs/>
                <w:color w:val="auto"/>
                <w:sz w:val="18"/>
                <w:szCs w:val="18"/>
                <w:lang w:eastAsia="zh-CN"/>
              </w:rPr>
              <w:t>统计学原理B</w:t>
            </w:r>
          </w:p>
          <w:p>
            <w:pPr>
              <w:adjustRightInd w:val="0"/>
              <w:spacing w:line="240" w:lineRule="exact"/>
              <w:rPr>
                <w:rFonts w:eastAsia="仿宋_GB2312"/>
                <w:bCs/>
                <w:color w:val="auto"/>
                <w:sz w:val="18"/>
                <w:szCs w:val="18"/>
              </w:rPr>
            </w:pPr>
            <w:r>
              <w:rPr>
                <w:rFonts w:eastAsia="仿宋_GB2312"/>
                <w:bCs/>
                <w:color w:val="auto"/>
                <w:sz w:val="18"/>
                <w:szCs w:val="18"/>
              </w:rPr>
              <w:t>Principles of Statistics</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bottom w:val="single" w:color="auto" w:sz="4" w:space="0"/>
            </w:tcBorders>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top w:val="single" w:color="auto" w:sz="4" w:space="0"/>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4070811</w:t>
            </w:r>
          </w:p>
        </w:tc>
        <w:tc>
          <w:tcPr>
            <w:tcW w:w="3751" w:type="dxa"/>
            <w:tcBorders>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建筑企业管理</w:t>
            </w:r>
          </w:p>
          <w:p>
            <w:pPr>
              <w:adjustRightInd w:val="0"/>
              <w:spacing w:line="240" w:lineRule="exact"/>
              <w:rPr>
                <w:rFonts w:eastAsia="仿宋_GB2312"/>
                <w:bCs/>
                <w:color w:val="auto"/>
                <w:sz w:val="18"/>
                <w:szCs w:val="18"/>
              </w:rPr>
            </w:pPr>
            <w:r>
              <w:rPr>
                <w:rFonts w:eastAsia="仿宋_GB2312"/>
                <w:bCs/>
                <w:color w:val="auto"/>
                <w:sz w:val="18"/>
                <w:szCs w:val="18"/>
              </w:rPr>
              <w:t>Construction Enterprise Management</w:t>
            </w:r>
          </w:p>
        </w:tc>
        <w:tc>
          <w:tcPr>
            <w:tcW w:w="666"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bottom w:val="single" w:color="auto" w:sz="4" w:space="0"/>
            </w:tcBorders>
          </w:tcPr>
          <w:p>
            <w:pPr>
              <w:adjustRightInd w:val="0"/>
              <w:spacing w:line="240" w:lineRule="exact"/>
              <w:jc w:val="center"/>
              <w:rPr>
                <w:rFonts w:eastAsia="仿宋_GB2312"/>
                <w:bCs/>
                <w:color w:val="auto"/>
                <w:sz w:val="18"/>
                <w:szCs w:val="18"/>
              </w:rPr>
            </w:pPr>
          </w:p>
        </w:tc>
        <w:tc>
          <w:tcPr>
            <w:tcW w:w="1141"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top w:val="single" w:color="auto" w:sz="4" w:space="0"/>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4070794</w:t>
            </w:r>
          </w:p>
        </w:tc>
        <w:tc>
          <w:tcPr>
            <w:tcW w:w="3751" w:type="dxa"/>
            <w:tcBorders>
              <w:top w:val="single" w:color="auto" w:sz="4" w:space="0"/>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工程造价专业英语</w:t>
            </w:r>
          </w:p>
          <w:p>
            <w:pPr>
              <w:adjustRightInd w:val="0"/>
              <w:spacing w:line="240" w:lineRule="exact"/>
              <w:rPr>
                <w:rFonts w:eastAsia="仿宋_GB2312"/>
                <w:bCs/>
                <w:color w:val="auto"/>
                <w:sz w:val="18"/>
                <w:szCs w:val="18"/>
              </w:rPr>
            </w:pPr>
            <w:r>
              <w:rPr>
                <w:rFonts w:eastAsia="仿宋_GB2312"/>
                <w:bCs/>
                <w:color w:val="auto"/>
                <w:sz w:val="18"/>
                <w:szCs w:val="18"/>
              </w:rPr>
              <w:t>Engineering Cost Professional English</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bottom w:val="single" w:color="auto" w:sz="4" w:space="0"/>
            </w:tcBorders>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top w:val="single" w:color="auto" w:sz="4" w:space="0"/>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4070802</w:t>
            </w:r>
          </w:p>
        </w:tc>
        <w:tc>
          <w:tcPr>
            <w:tcW w:w="3751" w:type="dxa"/>
            <w:tcBorders>
              <w:top w:val="single" w:color="auto" w:sz="4" w:space="0"/>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建设项目评估</w:t>
            </w:r>
          </w:p>
          <w:p>
            <w:pPr>
              <w:adjustRightInd w:val="0"/>
              <w:spacing w:line="240" w:lineRule="exact"/>
              <w:rPr>
                <w:rFonts w:eastAsia="仿宋_GB2312"/>
                <w:bCs/>
                <w:color w:val="auto"/>
                <w:sz w:val="18"/>
                <w:szCs w:val="18"/>
              </w:rPr>
            </w:pPr>
            <w:r>
              <w:rPr>
                <w:rFonts w:eastAsia="仿宋_GB2312"/>
                <w:bCs/>
                <w:color w:val="auto"/>
                <w:sz w:val="18"/>
                <w:szCs w:val="18"/>
              </w:rPr>
              <w:t>Construction Project Evaluation</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bottom w:val="single" w:color="auto" w:sz="4" w:space="0"/>
            </w:tcBorders>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top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4070791</w:t>
            </w:r>
          </w:p>
        </w:tc>
        <w:tc>
          <w:tcPr>
            <w:tcW w:w="3751" w:type="dxa"/>
            <w:tcBorders>
              <w:top w:val="single" w:color="auto" w:sz="4" w:space="0"/>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工程项目成本规划与控制</w:t>
            </w:r>
          </w:p>
          <w:p>
            <w:pPr>
              <w:adjustRightInd w:val="0"/>
              <w:spacing w:line="240" w:lineRule="exact"/>
              <w:rPr>
                <w:rFonts w:eastAsia="仿宋_GB2312"/>
                <w:bCs/>
                <w:color w:val="auto"/>
                <w:sz w:val="18"/>
                <w:szCs w:val="18"/>
              </w:rPr>
            </w:pPr>
            <w:r>
              <w:rPr>
                <w:rFonts w:eastAsia="仿宋_GB2312"/>
                <w:bCs/>
                <w:color w:val="auto"/>
                <w:sz w:val="18"/>
                <w:szCs w:val="18"/>
              </w:rPr>
              <w:t>Project Cost Planning and Control</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bottom w:val="single" w:color="auto" w:sz="4" w:space="0"/>
            </w:tcBorders>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top w:val="single" w:color="auto" w:sz="4" w:space="0"/>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4070783</w:t>
            </w:r>
          </w:p>
        </w:tc>
        <w:tc>
          <w:tcPr>
            <w:tcW w:w="3751" w:type="dxa"/>
            <w:tcBorders>
              <w:top w:val="single" w:color="auto" w:sz="4" w:space="0"/>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房地产市场营销</w:t>
            </w:r>
          </w:p>
          <w:p>
            <w:pPr>
              <w:adjustRightInd w:val="0"/>
              <w:spacing w:line="240" w:lineRule="exact"/>
              <w:rPr>
                <w:rFonts w:eastAsia="仿宋_GB2312"/>
                <w:bCs/>
                <w:color w:val="auto"/>
                <w:sz w:val="18"/>
                <w:szCs w:val="18"/>
              </w:rPr>
            </w:pPr>
            <w:r>
              <w:rPr>
                <w:rFonts w:eastAsia="仿宋_GB2312"/>
                <w:bCs/>
                <w:color w:val="auto"/>
                <w:sz w:val="18"/>
                <w:szCs w:val="18"/>
              </w:rPr>
              <w:t>Real Estate Marketing</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bottom w:val="single" w:color="auto" w:sz="4" w:space="0"/>
            </w:tcBorders>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top w:val="single" w:color="auto" w:sz="4" w:space="0"/>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4070781</w:t>
            </w:r>
          </w:p>
        </w:tc>
        <w:tc>
          <w:tcPr>
            <w:tcW w:w="3751" w:type="dxa"/>
            <w:tcBorders>
              <w:top w:val="single" w:color="auto" w:sz="4" w:space="0"/>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房地产经济学</w:t>
            </w:r>
          </w:p>
          <w:p>
            <w:pPr>
              <w:adjustRightInd w:val="0"/>
              <w:spacing w:line="240" w:lineRule="exact"/>
              <w:rPr>
                <w:rFonts w:eastAsia="仿宋_GB2312"/>
                <w:bCs/>
                <w:color w:val="auto"/>
                <w:sz w:val="18"/>
                <w:szCs w:val="18"/>
              </w:rPr>
            </w:pPr>
            <w:r>
              <w:rPr>
                <w:rFonts w:eastAsia="仿宋_GB2312"/>
                <w:bCs/>
                <w:color w:val="auto"/>
                <w:sz w:val="18"/>
                <w:szCs w:val="18"/>
              </w:rPr>
              <w:t>Real Estate Economics</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bottom w:val="single" w:color="auto" w:sz="4" w:space="0"/>
            </w:tcBorders>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top w:val="single" w:color="auto" w:sz="4" w:space="0"/>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4070796</w:t>
            </w:r>
          </w:p>
        </w:tc>
        <w:tc>
          <w:tcPr>
            <w:tcW w:w="3751" w:type="dxa"/>
            <w:tcBorders>
              <w:top w:val="single" w:color="auto" w:sz="4" w:space="0"/>
              <w:bottom w:val="single" w:color="auto" w:sz="4" w:space="0"/>
            </w:tcBorders>
            <w:vAlign w:val="center"/>
          </w:tcPr>
          <w:p>
            <w:pPr>
              <w:adjustRightInd w:val="0"/>
              <w:spacing w:line="240" w:lineRule="exact"/>
              <w:jc w:val="left"/>
              <w:rPr>
                <w:rFonts w:eastAsia="仿宋_GB2312"/>
                <w:bCs/>
                <w:color w:val="auto"/>
                <w:sz w:val="18"/>
                <w:szCs w:val="18"/>
              </w:rPr>
            </w:pPr>
            <w:r>
              <w:rPr>
                <w:rFonts w:eastAsia="仿宋_GB2312"/>
                <w:bCs/>
                <w:color w:val="auto"/>
                <w:sz w:val="18"/>
                <w:szCs w:val="18"/>
              </w:rPr>
              <w:t>国际工程管理（双语）</w:t>
            </w:r>
          </w:p>
          <w:p>
            <w:pPr>
              <w:adjustRightInd w:val="0"/>
              <w:spacing w:line="240" w:lineRule="exact"/>
              <w:rPr>
                <w:rFonts w:eastAsia="仿宋_GB2312"/>
                <w:bCs/>
                <w:color w:val="auto"/>
                <w:sz w:val="18"/>
                <w:szCs w:val="18"/>
              </w:rPr>
            </w:pPr>
            <w:r>
              <w:rPr>
                <w:rFonts w:eastAsia="仿宋_GB2312"/>
                <w:bCs/>
                <w:color w:val="auto"/>
                <w:sz w:val="18"/>
                <w:szCs w:val="18"/>
              </w:rPr>
              <w:t>International Project Management（bilingual）</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bottom w:val="single" w:color="auto" w:sz="4" w:space="0"/>
            </w:tcBorders>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tcBorders>
              <w:bottom w:val="single" w:color="auto" w:sz="4" w:space="0"/>
            </w:tcBorders>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top w:val="single" w:color="auto" w:sz="4" w:space="0"/>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4070844</w:t>
            </w:r>
          </w:p>
        </w:tc>
        <w:tc>
          <w:tcPr>
            <w:tcW w:w="3751" w:type="dxa"/>
            <w:tcBorders>
              <w:top w:val="single" w:color="auto" w:sz="4" w:space="0"/>
              <w:bottom w:val="single" w:color="auto" w:sz="4" w:space="0"/>
            </w:tcBorders>
            <w:vAlign w:val="center"/>
          </w:tcPr>
          <w:p>
            <w:pPr>
              <w:rPr>
                <w:rFonts w:eastAsia="仿宋_GB2312"/>
                <w:color w:val="auto"/>
                <w:sz w:val="18"/>
                <w:szCs w:val="18"/>
              </w:rPr>
            </w:pPr>
            <w:r>
              <w:rPr>
                <w:rFonts w:eastAsia="仿宋_GB2312"/>
                <w:color w:val="auto"/>
                <w:sz w:val="18"/>
                <w:szCs w:val="18"/>
              </w:rPr>
              <w:t>项目评估与可行性研究</w:t>
            </w:r>
          </w:p>
          <w:p>
            <w:pPr>
              <w:adjustRightInd w:val="0"/>
              <w:spacing w:line="240" w:lineRule="exact"/>
              <w:jc w:val="left"/>
              <w:rPr>
                <w:rFonts w:eastAsia="仿宋_GB2312"/>
                <w:bCs/>
                <w:color w:val="auto"/>
                <w:sz w:val="18"/>
                <w:szCs w:val="18"/>
              </w:rPr>
            </w:pPr>
            <w:r>
              <w:rPr>
                <w:rFonts w:eastAsia="仿宋_GB2312"/>
                <w:color w:val="auto"/>
                <w:sz w:val="18"/>
                <w:szCs w:val="18"/>
              </w:rPr>
              <w:t>Project Assessment and Research of Feasibility</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bottom w:val="single" w:color="auto" w:sz="4" w:space="0"/>
            </w:tcBorders>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w:t>
            </w:r>
          </w:p>
        </w:tc>
        <w:tc>
          <w:tcPr>
            <w:tcW w:w="1737" w:type="dxa"/>
            <w:gridSpan w:val="2"/>
            <w:vMerge w:val="continue"/>
            <w:tcBorders>
              <w:bottom w:val="single" w:color="auto" w:sz="4" w:space="0"/>
            </w:tcBorders>
            <w:vAlign w:val="center"/>
          </w:tcPr>
          <w:p>
            <w:pPr>
              <w:adjustRightInd w:val="0"/>
              <w:spacing w:line="240" w:lineRule="exact"/>
              <w:jc w:val="center"/>
              <w:rPr>
                <w:rFonts w:eastAsia="仿宋_GB2312"/>
                <w:bCs/>
                <w:color w:val="auto"/>
                <w:sz w:val="18"/>
                <w:szCs w:val="18"/>
              </w:rPr>
            </w:pPr>
          </w:p>
        </w:tc>
        <w:tc>
          <w:tcPr>
            <w:tcW w:w="2054" w:type="dxa"/>
            <w:tcBorders>
              <w:bottom w:val="single" w:color="auto" w:sz="4" w:space="0"/>
            </w:tcBorders>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4070066</w:t>
            </w:r>
          </w:p>
        </w:tc>
        <w:tc>
          <w:tcPr>
            <w:tcW w:w="3751" w:type="dxa"/>
            <w:tcBorders>
              <w:top w:val="single" w:color="auto" w:sz="4" w:space="0"/>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学科前沿与专题知识讲座</w:t>
            </w:r>
            <w:r>
              <w:rPr>
                <w:rFonts w:hint="eastAsia" w:eastAsia="仿宋_GB2312"/>
                <w:bCs/>
                <w:color w:val="auto"/>
                <w:sz w:val="18"/>
                <w:szCs w:val="18"/>
              </w:rPr>
              <w:t>（含实验室安全教育）</w:t>
            </w:r>
            <w:r>
              <w:rPr>
                <w:rFonts w:eastAsia="仿宋_GB2312"/>
                <w:bCs/>
                <w:color w:val="auto"/>
                <w:sz w:val="18"/>
                <w:szCs w:val="18"/>
              </w:rPr>
              <w:t>*</w:t>
            </w:r>
          </w:p>
          <w:p>
            <w:pPr>
              <w:adjustRightInd w:val="0"/>
              <w:spacing w:line="240" w:lineRule="exact"/>
              <w:rPr>
                <w:rFonts w:eastAsia="仿宋_GB2312"/>
                <w:bCs/>
                <w:color w:val="auto"/>
                <w:sz w:val="18"/>
                <w:szCs w:val="18"/>
              </w:rPr>
            </w:pPr>
            <w:r>
              <w:rPr>
                <w:rFonts w:eastAsia="仿宋_GB2312"/>
                <w:bCs/>
                <w:color w:val="auto"/>
                <w:sz w:val="18"/>
                <w:szCs w:val="18"/>
              </w:rPr>
              <w:t>Lectures on Subject Frontiers and Thematic Knowledge</w:t>
            </w:r>
            <w:r>
              <w:rPr>
                <w:rFonts w:hint="eastAsia" w:eastAsia="仿宋_GB2312"/>
                <w:color w:val="auto"/>
                <w:sz w:val="18"/>
                <w:szCs w:val="18"/>
              </w:rPr>
              <w:t>（</w:t>
            </w:r>
            <w:r>
              <w:rPr>
                <w:rFonts w:eastAsia="仿宋_GB2312"/>
                <w:color w:val="auto"/>
                <w:sz w:val="18"/>
                <w:szCs w:val="18"/>
              </w:rPr>
              <w:t xml:space="preserve">Including </w:t>
            </w:r>
            <w:r>
              <w:rPr>
                <w:rFonts w:hint="eastAsia" w:eastAsia="仿宋_GB2312"/>
                <w:color w:val="auto"/>
                <w:sz w:val="18"/>
                <w:szCs w:val="18"/>
              </w:rPr>
              <w:t>L</w:t>
            </w:r>
            <w:r>
              <w:rPr>
                <w:rFonts w:eastAsia="仿宋_GB2312"/>
                <w:color w:val="auto"/>
                <w:sz w:val="18"/>
                <w:szCs w:val="18"/>
              </w:rPr>
              <w:t xml:space="preserve">aboratory </w:t>
            </w:r>
            <w:r>
              <w:rPr>
                <w:rFonts w:hint="eastAsia" w:eastAsia="仿宋_GB2312"/>
                <w:color w:val="auto"/>
                <w:sz w:val="18"/>
                <w:szCs w:val="18"/>
              </w:rPr>
              <w:t>S</w:t>
            </w:r>
            <w:r>
              <w:rPr>
                <w:rFonts w:eastAsia="仿宋_GB2312"/>
                <w:color w:val="auto"/>
                <w:sz w:val="18"/>
                <w:szCs w:val="18"/>
              </w:rPr>
              <w:t xml:space="preserve">afety </w:t>
            </w:r>
            <w:r>
              <w:rPr>
                <w:rFonts w:hint="eastAsia" w:eastAsia="仿宋_GB2312"/>
                <w:color w:val="auto"/>
                <w:sz w:val="18"/>
                <w:szCs w:val="18"/>
              </w:rPr>
              <w:t>E</w:t>
            </w:r>
            <w:r>
              <w:rPr>
                <w:rFonts w:eastAsia="仿宋_GB2312"/>
                <w:color w:val="auto"/>
                <w:sz w:val="18"/>
                <w:szCs w:val="18"/>
              </w:rPr>
              <w:t>ducation</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1.5</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w:t>
            </w:r>
          </w:p>
        </w:tc>
        <w:tc>
          <w:tcPr>
            <w:tcW w:w="1737" w:type="dxa"/>
            <w:gridSpan w:val="2"/>
            <w:vMerge w:val="restart"/>
            <w:tcBorders>
              <w:top w:val="single" w:color="auto" w:sz="4" w:space="0"/>
            </w:tcBorders>
            <w:vAlign w:val="center"/>
          </w:tcPr>
          <w:p>
            <w:pPr>
              <w:adjustRightInd w:val="0"/>
              <w:spacing w:line="240" w:lineRule="exact"/>
              <w:jc w:val="center"/>
              <w:rPr>
                <w:rFonts w:eastAsia="仿宋_GB2312"/>
                <w:bCs/>
                <w:color w:val="auto"/>
                <w:sz w:val="18"/>
                <w:szCs w:val="18"/>
              </w:rPr>
            </w:pPr>
            <w:r>
              <w:rPr>
                <w:rFonts w:hint="eastAsia" w:eastAsia="仿宋_GB2312"/>
                <w:bCs/>
                <w:color w:val="auto"/>
                <w:sz w:val="18"/>
                <w:szCs w:val="18"/>
              </w:rPr>
              <w:t>工程</w:t>
            </w:r>
            <w:r>
              <w:rPr>
                <w:rFonts w:eastAsia="仿宋_GB2312"/>
                <w:bCs/>
                <w:color w:val="auto"/>
                <w:sz w:val="18"/>
                <w:szCs w:val="18"/>
              </w:rPr>
              <w:t>技术模块</w:t>
            </w:r>
          </w:p>
          <w:p>
            <w:pPr>
              <w:adjustRightInd w:val="0"/>
              <w:spacing w:line="240" w:lineRule="exact"/>
              <w:jc w:val="center"/>
              <w:rPr>
                <w:rFonts w:eastAsia="仿宋_GB2312"/>
                <w:bCs/>
                <w:color w:val="auto"/>
                <w:sz w:val="18"/>
                <w:szCs w:val="18"/>
              </w:rPr>
            </w:pPr>
            <w:r>
              <w:rPr>
                <w:rFonts w:eastAsia="仿宋_GB2312"/>
                <w:bCs/>
                <w:color w:val="auto"/>
                <w:sz w:val="18"/>
                <w:szCs w:val="18"/>
              </w:rPr>
              <w:t>（最低选修1.5学分）</w:t>
            </w:r>
          </w:p>
        </w:tc>
        <w:tc>
          <w:tcPr>
            <w:tcW w:w="2054" w:type="dxa"/>
            <w:tcBorders>
              <w:top w:val="single" w:color="auto" w:sz="4" w:space="0"/>
            </w:tcBorders>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4070061</w:t>
            </w:r>
          </w:p>
        </w:tc>
        <w:tc>
          <w:tcPr>
            <w:tcW w:w="3751" w:type="dxa"/>
            <w:tcBorders>
              <w:top w:val="single" w:color="auto" w:sz="4" w:space="0"/>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城市规划</w:t>
            </w:r>
          </w:p>
          <w:p>
            <w:pPr>
              <w:adjustRightInd w:val="0"/>
              <w:spacing w:line="240" w:lineRule="exact"/>
              <w:rPr>
                <w:rFonts w:eastAsia="仿宋_GB2312"/>
                <w:bCs/>
                <w:color w:val="auto"/>
                <w:sz w:val="18"/>
                <w:szCs w:val="18"/>
              </w:rPr>
            </w:pPr>
            <w:r>
              <w:rPr>
                <w:rFonts w:eastAsia="仿宋_GB2312"/>
                <w:bCs/>
                <w:color w:val="auto"/>
                <w:sz w:val="18"/>
                <w:szCs w:val="18"/>
              </w:rPr>
              <w:t>Urban Planning</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tcBorders>
              <w:top w:val="single" w:color="auto" w:sz="4" w:space="0"/>
            </w:tcBorders>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top w:val="single" w:color="auto" w:sz="4" w:space="0"/>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4070067</w:t>
            </w:r>
          </w:p>
        </w:tc>
        <w:tc>
          <w:tcPr>
            <w:tcW w:w="3751" w:type="dxa"/>
            <w:tcBorders>
              <w:top w:val="single" w:color="auto" w:sz="4" w:space="0"/>
              <w:bottom w:val="single" w:color="auto" w:sz="4" w:space="0"/>
            </w:tcBorders>
            <w:vAlign w:val="center"/>
          </w:tcPr>
          <w:p>
            <w:pPr>
              <w:spacing w:line="240" w:lineRule="exact"/>
              <w:jc w:val="left"/>
              <w:rPr>
                <w:rFonts w:eastAsia="仿宋_GB2312"/>
                <w:color w:val="auto"/>
                <w:sz w:val="18"/>
                <w:szCs w:val="18"/>
              </w:rPr>
            </w:pPr>
            <w:r>
              <w:rPr>
                <w:rFonts w:eastAsia="仿宋_GB2312"/>
                <w:color w:val="auto"/>
                <w:sz w:val="18"/>
                <w:szCs w:val="18"/>
              </w:rPr>
              <w:t>装配式建筑概论</w:t>
            </w:r>
          </w:p>
          <w:p>
            <w:pPr>
              <w:adjustRightInd w:val="0"/>
              <w:spacing w:line="240" w:lineRule="exact"/>
              <w:rPr>
                <w:rFonts w:eastAsia="仿宋_GB2312"/>
                <w:bCs/>
                <w:color w:val="auto"/>
                <w:sz w:val="18"/>
                <w:szCs w:val="18"/>
              </w:rPr>
            </w:pPr>
            <w:r>
              <w:rPr>
                <w:rFonts w:eastAsia="仿宋_GB2312"/>
                <w:color w:val="auto"/>
                <w:sz w:val="18"/>
                <w:szCs w:val="18"/>
              </w:rPr>
              <w:t>Introduction to Assembled Architecture</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1.5</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top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4070831</w:t>
            </w:r>
          </w:p>
        </w:tc>
        <w:tc>
          <w:tcPr>
            <w:tcW w:w="3751" w:type="dxa"/>
            <w:tcBorders>
              <w:top w:val="single" w:color="auto" w:sz="4" w:space="0"/>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绿色生态建筑材料研发与应用</w:t>
            </w:r>
          </w:p>
          <w:p>
            <w:pPr>
              <w:adjustRightInd w:val="0"/>
              <w:spacing w:line="240" w:lineRule="exact"/>
              <w:rPr>
                <w:rFonts w:eastAsia="仿宋_GB2312"/>
                <w:bCs/>
                <w:color w:val="auto"/>
                <w:sz w:val="18"/>
                <w:szCs w:val="18"/>
              </w:rPr>
            </w:pPr>
            <w:r>
              <w:rPr>
                <w:rFonts w:eastAsia="仿宋_GB2312"/>
                <w:bCs/>
                <w:color w:val="auto"/>
                <w:sz w:val="18"/>
                <w:szCs w:val="18"/>
              </w:rPr>
              <w:t>Research and Application of Green Ecological Building Materials</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26</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6</w:t>
            </w:r>
          </w:p>
        </w:tc>
        <w:tc>
          <w:tcPr>
            <w:tcW w:w="67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p>
        </w:tc>
        <w:tc>
          <w:tcPr>
            <w:tcW w:w="1141" w:type="dxa"/>
            <w:tcBorders>
              <w:top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4070813</w:t>
            </w:r>
          </w:p>
        </w:tc>
        <w:tc>
          <w:tcPr>
            <w:tcW w:w="3751" w:type="dxa"/>
            <w:tcBorders>
              <w:top w:val="single" w:color="auto" w:sz="4" w:space="0"/>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建筑设备安装工程施工技术</w:t>
            </w:r>
          </w:p>
          <w:p>
            <w:pPr>
              <w:widowControl/>
              <w:adjustRightInd w:val="0"/>
              <w:spacing w:line="240" w:lineRule="exact"/>
              <w:jc w:val="left"/>
              <w:rPr>
                <w:rFonts w:eastAsia="仿宋_GB2312"/>
                <w:bCs/>
                <w:color w:val="auto"/>
                <w:sz w:val="18"/>
                <w:szCs w:val="18"/>
              </w:rPr>
            </w:pPr>
            <w:r>
              <w:rPr>
                <w:rFonts w:eastAsia="仿宋_GB2312"/>
                <w:bCs/>
                <w:color w:val="auto"/>
                <w:sz w:val="18"/>
                <w:szCs w:val="18"/>
              </w:rPr>
              <w:t>Construction Equipment Installation Engineering Construction Technology</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p>
        </w:tc>
        <w:tc>
          <w:tcPr>
            <w:tcW w:w="1141" w:type="dxa"/>
            <w:tcBorders>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4070065</w:t>
            </w:r>
          </w:p>
        </w:tc>
        <w:tc>
          <w:tcPr>
            <w:tcW w:w="3751" w:type="dxa"/>
            <w:tcBorders>
              <w:top w:val="single" w:color="auto" w:sz="4" w:space="0"/>
              <w:bottom w:val="single" w:color="auto" w:sz="4" w:space="0"/>
            </w:tcBorders>
            <w:vAlign w:val="center"/>
          </w:tcPr>
          <w:p>
            <w:pPr>
              <w:adjustRightInd w:val="0"/>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项目管理软件应用B</w:t>
            </w:r>
          </w:p>
          <w:p>
            <w:pPr>
              <w:adjustRightInd w:val="0"/>
              <w:spacing w:line="240" w:lineRule="exact"/>
              <w:rPr>
                <w:rFonts w:eastAsia="仿宋_GB2312"/>
                <w:bCs/>
                <w:color w:val="auto"/>
                <w:sz w:val="18"/>
                <w:szCs w:val="18"/>
              </w:rPr>
            </w:pPr>
            <w:r>
              <w:rPr>
                <w:rFonts w:eastAsia="仿宋_GB2312"/>
                <w:bCs/>
                <w:color w:val="auto"/>
                <w:sz w:val="18"/>
                <w:szCs w:val="18"/>
              </w:rPr>
              <w:t>Application of Project Management Software</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7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w:t>
            </w:r>
          </w:p>
        </w:tc>
        <w:tc>
          <w:tcPr>
            <w:tcW w:w="1737" w:type="dxa"/>
            <w:gridSpan w:val="2"/>
            <w:vMerge w:val="restart"/>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信息化技术</w:t>
            </w:r>
          </w:p>
          <w:p>
            <w:pPr>
              <w:adjustRightInd w:val="0"/>
              <w:spacing w:line="240" w:lineRule="exact"/>
              <w:jc w:val="center"/>
              <w:rPr>
                <w:rFonts w:eastAsia="仿宋_GB2312"/>
                <w:bCs/>
                <w:color w:val="auto"/>
                <w:sz w:val="18"/>
                <w:szCs w:val="18"/>
              </w:rPr>
            </w:pPr>
            <w:r>
              <w:rPr>
                <w:rFonts w:eastAsia="仿宋_GB2312"/>
                <w:bCs/>
                <w:color w:val="auto"/>
                <w:sz w:val="18"/>
                <w:szCs w:val="18"/>
              </w:rPr>
              <w:t>知识模块</w:t>
            </w:r>
          </w:p>
          <w:p>
            <w:pPr>
              <w:adjustRightInd w:val="0"/>
              <w:spacing w:line="240" w:lineRule="exact"/>
              <w:jc w:val="center"/>
              <w:rPr>
                <w:rFonts w:eastAsia="仿宋_GB2312"/>
                <w:bCs/>
                <w:color w:val="auto"/>
                <w:sz w:val="18"/>
                <w:szCs w:val="18"/>
              </w:rPr>
            </w:pPr>
            <w:r>
              <w:rPr>
                <w:rFonts w:eastAsia="仿宋_GB2312"/>
                <w:bCs/>
                <w:color w:val="auto"/>
                <w:sz w:val="18"/>
                <w:szCs w:val="18"/>
              </w:rPr>
              <w:t>（最低选修3学分）</w:t>
            </w:r>
          </w:p>
        </w:tc>
        <w:tc>
          <w:tcPr>
            <w:tcW w:w="2054" w:type="dxa"/>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4070075</w:t>
            </w:r>
          </w:p>
        </w:tc>
        <w:tc>
          <w:tcPr>
            <w:tcW w:w="3751" w:type="dxa"/>
            <w:tcBorders>
              <w:top w:val="single" w:color="auto" w:sz="4" w:space="0"/>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Python语言程序设计</w:t>
            </w:r>
            <w:r>
              <w:rPr>
                <w:rFonts w:hint="eastAsia" w:eastAsia="仿宋_GB2312"/>
                <w:bCs/>
                <w:color w:val="auto"/>
                <w:sz w:val="18"/>
                <w:szCs w:val="18"/>
                <w:lang w:val="en-US" w:eastAsia="zh-CN"/>
              </w:rPr>
              <w:t>B</w:t>
            </w:r>
            <w:r>
              <w:rPr>
                <w:rFonts w:hint="eastAsia" w:eastAsia="仿宋_GB2312"/>
                <w:bCs/>
                <w:color w:val="auto"/>
                <w:sz w:val="18"/>
                <w:szCs w:val="18"/>
              </w:rPr>
              <w:t>*</w:t>
            </w:r>
          </w:p>
          <w:p>
            <w:pPr>
              <w:adjustRightInd w:val="0"/>
              <w:spacing w:line="240" w:lineRule="exact"/>
              <w:rPr>
                <w:rFonts w:eastAsia="仿宋_GB2312"/>
                <w:bCs/>
                <w:color w:val="auto"/>
                <w:sz w:val="18"/>
                <w:szCs w:val="18"/>
              </w:rPr>
            </w:pPr>
            <w:r>
              <w:rPr>
                <w:rFonts w:eastAsia="仿宋_GB2312"/>
                <w:bCs/>
                <w:color w:val="auto"/>
                <w:sz w:val="18"/>
                <w:szCs w:val="18"/>
              </w:rPr>
              <w:t>Python Programming</w:t>
            </w:r>
            <w:r>
              <w:rPr>
                <w:rFonts w:hint="eastAsia" w:eastAsia="仿宋_GB2312"/>
                <w:bCs/>
                <w:color w:val="auto"/>
                <w:sz w:val="18"/>
                <w:szCs w:val="18"/>
              </w:rPr>
              <w:t>*</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3.0</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16</w:t>
            </w:r>
          </w:p>
        </w:tc>
        <w:tc>
          <w:tcPr>
            <w:tcW w:w="67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tcBorders>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4071398</w:t>
            </w:r>
          </w:p>
        </w:tc>
        <w:tc>
          <w:tcPr>
            <w:tcW w:w="3751" w:type="dxa"/>
            <w:tcBorders>
              <w:top w:val="single" w:color="auto" w:sz="4" w:space="0"/>
              <w:bottom w:val="single" w:color="auto" w:sz="4" w:space="0"/>
            </w:tcBorders>
            <w:vAlign w:val="center"/>
          </w:tcPr>
          <w:p>
            <w:pPr>
              <w:adjustRightInd w:val="0"/>
              <w:spacing w:line="240" w:lineRule="exact"/>
              <w:rPr>
                <w:rFonts w:eastAsia="仿宋_GB2312"/>
                <w:bCs/>
                <w:color w:val="auto"/>
                <w:sz w:val="18"/>
                <w:szCs w:val="18"/>
              </w:rPr>
            </w:pPr>
            <w:r>
              <w:rPr>
                <w:rFonts w:eastAsia="仿宋_GB2312"/>
                <w:bCs/>
                <w:color w:val="auto"/>
                <w:sz w:val="18"/>
                <w:szCs w:val="18"/>
              </w:rPr>
              <w:t>文献检索</w:t>
            </w:r>
          </w:p>
          <w:p>
            <w:pPr>
              <w:adjustRightInd w:val="0"/>
              <w:spacing w:line="240" w:lineRule="exact"/>
              <w:rPr>
                <w:rFonts w:eastAsia="仿宋_GB2312"/>
                <w:bCs/>
                <w:color w:val="auto"/>
                <w:sz w:val="18"/>
                <w:szCs w:val="18"/>
              </w:rPr>
            </w:pPr>
            <w:r>
              <w:rPr>
                <w:rFonts w:eastAsia="仿宋_GB2312"/>
                <w:bCs/>
                <w:color w:val="auto"/>
                <w:sz w:val="18"/>
                <w:szCs w:val="18"/>
              </w:rPr>
              <w:t>Literature Retrieval</w:t>
            </w:r>
          </w:p>
        </w:tc>
        <w:tc>
          <w:tcPr>
            <w:tcW w:w="666"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1.5</w:t>
            </w:r>
          </w:p>
        </w:tc>
        <w:tc>
          <w:tcPr>
            <w:tcW w:w="892"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708"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16</w:t>
            </w:r>
          </w:p>
        </w:tc>
        <w:tc>
          <w:tcPr>
            <w:tcW w:w="657"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8</w:t>
            </w:r>
          </w:p>
        </w:tc>
        <w:tc>
          <w:tcPr>
            <w:tcW w:w="67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p>
        </w:tc>
        <w:tc>
          <w:tcPr>
            <w:tcW w:w="1141" w:type="dxa"/>
            <w:tcBorders>
              <w:top w:val="single" w:color="auto" w:sz="4" w:space="0"/>
              <w:bottom w:val="single" w:color="auto" w:sz="4" w:space="0"/>
            </w:tcBorders>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w:t>
            </w:r>
          </w:p>
        </w:tc>
        <w:tc>
          <w:tcPr>
            <w:tcW w:w="1737" w:type="dxa"/>
            <w:gridSpan w:val="2"/>
            <w:vMerge w:val="continue"/>
            <w:tcBorders>
              <w:bottom w:val="single" w:color="auto" w:sz="4" w:space="0"/>
            </w:tcBorders>
            <w:vAlign w:val="center"/>
          </w:tcPr>
          <w:p>
            <w:pPr>
              <w:adjustRightInd w:val="0"/>
              <w:spacing w:line="240" w:lineRule="exact"/>
              <w:jc w:val="center"/>
              <w:rPr>
                <w:rFonts w:eastAsia="仿宋_GB2312"/>
                <w:bCs/>
                <w:color w:val="auto"/>
                <w:sz w:val="18"/>
                <w:szCs w:val="18"/>
              </w:rPr>
            </w:pPr>
          </w:p>
        </w:tc>
        <w:tc>
          <w:tcPr>
            <w:tcW w:w="2054" w:type="dxa"/>
            <w:tcBorders>
              <w:bottom w:val="single" w:color="auto" w:sz="4" w:space="0"/>
            </w:tcBorders>
            <w:vAlign w:val="center"/>
          </w:tcPr>
          <w:p>
            <w:pPr>
              <w:widowControl/>
              <w:adjustRightInd w:val="0"/>
              <w:spacing w:line="240" w:lineRule="exact"/>
              <w:jc w:val="center"/>
              <w:rPr>
                <w:rFonts w:eastAsia="仿宋_GB2312"/>
                <w:bCs/>
                <w:color w:val="auto"/>
                <w:sz w:val="18"/>
                <w:szCs w:val="18"/>
              </w:rPr>
            </w:pPr>
            <w:r>
              <w:rPr>
                <w:rFonts w:eastAsia="仿宋_GB2312"/>
                <w:bCs/>
                <w:color w:val="auto"/>
                <w:sz w:val="18"/>
                <w:szCs w:val="18"/>
              </w:rPr>
              <w:t>图书馆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13256" w:type="dxa"/>
            <w:gridSpan w:val="11"/>
            <w:tcBorders>
              <w:top w:val="single" w:color="auto" w:sz="4" w:space="0"/>
            </w:tcBorders>
            <w:vAlign w:val="center"/>
          </w:tcPr>
          <w:p>
            <w:pPr>
              <w:adjustRightInd w:val="0"/>
              <w:spacing w:line="240" w:lineRule="exact"/>
              <w:jc w:val="left"/>
              <w:rPr>
                <w:rFonts w:eastAsia="仿宋_GB2312"/>
                <w:bCs/>
                <w:color w:val="auto"/>
                <w:sz w:val="18"/>
                <w:szCs w:val="18"/>
              </w:rPr>
            </w:pPr>
            <w:r>
              <w:rPr>
                <w:rFonts w:eastAsia="仿宋_GB2312"/>
                <w:bCs/>
                <w:color w:val="auto"/>
                <w:sz w:val="18"/>
                <w:szCs w:val="18"/>
              </w:rPr>
              <w:t>注：带*课程为必选课程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restart"/>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通识课程（选修）</w:t>
            </w: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3751" w:type="dxa"/>
            <w:vAlign w:val="center"/>
          </w:tcPr>
          <w:p>
            <w:pPr>
              <w:adjustRightInd w:val="0"/>
              <w:spacing w:line="240" w:lineRule="exact"/>
              <w:jc w:val="left"/>
              <w:rPr>
                <w:rFonts w:eastAsia="仿宋_GB2312"/>
                <w:bCs/>
                <w:color w:val="auto"/>
                <w:sz w:val="18"/>
                <w:szCs w:val="18"/>
              </w:rPr>
            </w:pPr>
            <w:r>
              <w:rPr>
                <w:rFonts w:eastAsia="仿宋_GB2312"/>
                <w:bCs/>
                <w:color w:val="auto"/>
                <w:sz w:val="18"/>
                <w:szCs w:val="18"/>
              </w:rPr>
              <w:t>实用进阶英语读写1</w:t>
            </w:r>
          </w:p>
          <w:p>
            <w:pPr>
              <w:adjustRightInd w:val="0"/>
              <w:spacing w:line="240" w:lineRule="exact"/>
              <w:jc w:val="left"/>
              <w:rPr>
                <w:rFonts w:eastAsia="仿宋_GB2312"/>
                <w:bCs/>
                <w:color w:val="auto"/>
                <w:sz w:val="18"/>
                <w:szCs w:val="18"/>
              </w:rPr>
            </w:pPr>
            <w:r>
              <w:rPr>
                <w:rFonts w:hint="eastAsia" w:eastAsia="仿宋_GB2312"/>
                <w:bCs/>
                <w:color w:val="auto"/>
                <w:sz w:val="18"/>
                <w:szCs w:val="18"/>
              </w:rPr>
              <w:t>Practical Progressive English Writing Ⅰ</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1-4</w:t>
            </w:r>
          </w:p>
        </w:tc>
        <w:tc>
          <w:tcPr>
            <w:tcW w:w="1737" w:type="dxa"/>
            <w:gridSpan w:val="2"/>
            <w:vMerge w:val="restart"/>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英语模块</w:t>
            </w: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3751" w:type="dxa"/>
            <w:vAlign w:val="center"/>
          </w:tcPr>
          <w:p>
            <w:pPr>
              <w:adjustRightInd w:val="0"/>
              <w:spacing w:line="240" w:lineRule="exact"/>
              <w:jc w:val="left"/>
              <w:rPr>
                <w:rFonts w:eastAsia="仿宋_GB2312"/>
                <w:bCs/>
                <w:color w:val="auto"/>
                <w:sz w:val="18"/>
                <w:szCs w:val="18"/>
              </w:rPr>
            </w:pPr>
            <w:r>
              <w:rPr>
                <w:rFonts w:eastAsia="仿宋_GB2312"/>
                <w:bCs/>
                <w:color w:val="auto"/>
                <w:sz w:val="18"/>
                <w:szCs w:val="18"/>
              </w:rPr>
              <w:t>实用进阶英语读写2</w:t>
            </w:r>
          </w:p>
          <w:p>
            <w:pPr>
              <w:adjustRightInd w:val="0"/>
              <w:spacing w:line="240" w:lineRule="exact"/>
              <w:jc w:val="left"/>
              <w:rPr>
                <w:rFonts w:eastAsia="仿宋_GB2312"/>
                <w:bCs/>
                <w:color w:val="auto"/>
                <w:sz w:val="18"/>
                <w:szCs w:val="18"/>
              </w:rPr>
            </w:pPr>
            <w:r>
              <w:rPr>
                <w:rFonts w:hint="eastAsia" w:eastAsia="仿宋_GB2312"/>
                <w:bCs/>
                <w:color w:val="auto"/>
                <w:sz w:val="18"/>
                <w:szCs w:val="18"/>
              </w:rPr>
              <w:t>Practical Progressive English Writing Ⅱ</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3751" w:type="dxa"/>
            <w:vAlign w:val="center"/>
          </w:tcPr>
          <w:p>
            <w:pPr>
              <w:adjustRightInd w:val="0"/>
              <w:spacing w:line="240" w:lineRule="exact"/>
              <w:jc w:val="left"/>
              <w:rPr>
                <w:rFonts w:eastAsia="仿宋_GB2312"/>
                <w:bCs/>
                <w:color w:val="auto"/>
                <w:sz w:val="18"/>
                <w:szCs w:val="18"/>
              </w:rPr>
            </w:pPr>
            <w:r>
              <w:rPr>
                <w:rFonts w:eastAsia="仿宋_GB2312"/>
                <w:bCs/>
                <w:color w:val="auto"/>
                <w:sz w:val="18"/>
                <w:szCs w:val="18"/>
              </w:rPr>
              <w:t>实用进阶英语听说1</w:t>
            </w:r>
          </w:p>
          <w:p>
            <w:pPr>
              <w:adjustRightInd w:val="0"/>
              <w:spacing w:line="240" w:lineRule="exact"/>
              <w:jc w:val="left"/>
              <w:rPr>
                <w:rFonts w:eastAsia="仿宋_GB2312"/>
                <w:bCs/>
                <w:color w:val="auto"/>
                <w:sz w:val="18"/>
                <w:szCs w:val="18"/>
              </w:rPr>
            </w:pPr>
            <w:r>
              <w:rPr>
                <w:rFonts w:hint="eastAsia" w:eastAsia="仿宋_GB2312"/>
                <w:bCs/>
                <w:color w:val="auto"/>
                <w:sz w:val="18"/>
                <w:szCs w:val="18"/>
              </w:rPr>
              <w:t>Practical Progressive English Listening and Speaking Ⅰ</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3751" w:type="dxa"/>
            <w:vAlign w:val="center"/>
          </w:tcPr>
          <w:p>
            <w:pPr>
              <w:adjustRightInd w:val="0"/>
              <w:spacing w:line="240" w:lineRule="exact"/>
              <w:jc w:val="left"/>
              <w:rPr>
                <w:rFonts w:eastAsia="仿宋_GB2312"/>
                <w:bCs/>
                <w:color w:val="auto"/>
                <w:sz w:val="18"/>
                <w:szCs w:val="18"/>
              </w:rPr>
            </w:pPr>
            <w:r>
              <w:rPr>
                <w:rFonts w:eastAsia="仿宋_GB2312"/>
                <w:bCs/>
                <w:color w:val="auto"/>
                <w:sz w:val="18"/>
                <w:szCs w:val="18"/>
              </w:rPr>
              <w:t>实用进阶英语听说2</w:t>
            </w:r>
          </w:p>
          <w:p>
            <w:pPr>
              <w:adjustRightInd w:val="0"/>
              <w:spacing w:line="240" w:lineRule="exact"/>
              <w:jc w:val="left"/>
              <w:rPr>
                <w:rFonts w:eastAsia="仿宋_GB2312"/>
                <w:bCs/>
                <w:color w:val="auto"/>
                <w:sz w:val="18"/>
                <w:szCs w:val="18"/>
              </w:rPr>
            </w:pPr>
            <w:r>
              <w:rPr>
                <w:rFonts w:hint="eastAsia" w:eastAsia="仿宋_GB2312"/>
                <w:bCs/>
                <w:color w:val="auto"/>
                <w:sz w:val="18"/>
                <w:szCs w:val="18"/>
              </w:rPr>
              <w:t>Practical Progressive English Listening and Speaking Ⅱ</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3751" w:type="dxa"/>
            <w:vAlign w:val="center"/>
          </w:tcPr>
          <w:p>
            <w:pPr>
              <w:adjustRightInd w:val="0"/>
              <w:spacing w:line="240" w:lineRule="exact"/>
              <w:jc w:val="left"/>
              <w:rPr>
                <w:rFonts w:eastAsia="仿宋_GB2312"/>
                <w:bCs/>
                <w:color w:val="auto"/>
                <w:sz w:val="18"/>
                <w:szCs w:val="18"/>
              </w:rPr>
            </w:pPr>
            <w:r>
              <w:rPr>
                <w:rFonts w:eastAsia="仿宋_GB2312"/>
                <w:bCs/>
                <w:color w:val="auto"/>
                <w:sz w:val="18"/>
                <w:szCs w:val="18"/>
              </w:rPr>
              <w:t>出国留学英语</w:t>
            </w:r>
          </w:p>
          <w:p>
            <w:pPr>
              <w:adjustRightInd w:val="0"/>
              <w:spacing w:line="240" w:lineRule="exact"/>
              <w:jc w:val="left"/>
              <w:rPr>
                <w:rFonts w:eastAsia="仿宋_GB2312"/>
                <w:bCs/>
                <w:color w:val="auto"/>
                <w:sz w:val="18"/>
                <w:szCs w:val="18"/>
              </w:rPr>
            </w:pPr>
            <w:r>
              <w:rPr>
                <w:rFonts w:hint="eastAsia" w:eastAsia="仿宋_GB2312"/>
                <w:bCs/>
                <w:color w:val="auto"/>
                <w:sz w:val="18"/>
                <w:szCs w:val="18"/>
              </w:rPr>
              <w:t>English for Studying Abroad</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3751" w:type="dxa"/>
            <w:vAlign w:val="center"/>
          </w:tcPr>
          <w:p>
            <w:pPr>
              <w:adjustRightInd w:val="0"/>
              <w:spacing w:line="240" w:lineRule="exact"/>
              <w:jc w:val="left"/>
              <w:rPr>
                <w:rFonts w:eastAsia="仿宋_GB2312"/>
                <w:bCs/>
                <w:color w:val="auto"/>
                <w:sz w:val="18"/>
                <w:szCs w:val="18"/>
              </w:rPr>
            </w:pPr>
            <w:r>
              <w:rPr>
                <w:rFonts w:eastAsia="仿宋_GB2312"/>
                <w:bCs/>
                <w:color w:val="auto"/>
                <w:sz w:val="18"/>
                <w:szCs w:val="18"/>
              </w:rPr>
              <w:t>雅思英语1</w:t>
            </w:r>
          </w:p>
          <w:p>
            <w:pPr>
              <w:adjustRightInd w:val="0"/>
              <w:spacing w:line="240" w:lineRule="exact"/>
              <w:jc w:val="left"/>
              <w:rPr>
                <w:rFonts w:eastAsia="仿宋_GB2312"/>
                <w:bCs/>
                <w:color w:val="auto"/>
                <w:sz w:val="18"/>
                <w:szCs w:val="18"/>
              </w:rPr>
            </w:pPr>
            <w:r>
              <w:rPr>
                <w:rFonts w:hint="eastAsia" w:eastAsia="仿宋_GB2312"/>
                <w:bCs/>
                <w:color w:val="auto"/>
                <w:sz w:val="18"/>
                <w:szCs w:val="18"/>
              </w:rPr>
              <w:t>English for IELTS Ⅰ</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3751" w:type="dxa"/>
            <w:vAlign w:val="center"/>
          </w:tcPr>
          <w:p>
            <w:pPr>
              <w:adjustRightInd w:val="0"/>
              <w:spacing w:line="240" w:lineRule="exact"/>
              <w:jc w:val="left"/>
              <w:rPr>
                <w:rFonts w:eastAsia="仿宋_GB2312"/>
                <w:bCs/>
                <w:color w:val="auto"/>
                <w:sz w:val="18"/>
                <w:szCs w:val="18"/>
              </w:rPr>
            </w:pPr>
            <w:r>
              <w:rPr>
                <w:rFonts w:eastAsia="仿宋_GB2312"/>
                <w:bCs/>
                <w:color w:val="auto"/>
                <w:sz w:val="18"/>
                <w:szCs w:val="18"/>
              </w:rPr>
              <w:t>雅思英语2</w:t>
            </w:r>
          </w:p>
          <w:p>
            <w:pPr>
              <w:adjustRightInd w:val="0"/>
              <w:spacing w:line="240" w:lineRule="exact"/>
              <w:jc w:val="left"/>
              <w:rPr>
                <w:rFonts w:eastAsia="仿宋_GB2312"/>
                <w:bCs/>
                <w:color w:val="auto"/>
                <w:sz w:val="18"/>
                <w:szCs w:val="18"/>
              </w:rPr>
            </w:pPr>
            <w:r>
              <w:rPr>
                <w:rFonts w:hint="eastAsia" w:eastAsia="仿宋_GB2312"/>
                <w:bCs/>
                <w:color w:val="auto"/>
                <w:sz w:val="18"/>
                <w:szCs w:val="18"/>
              </w:rPr>
              <w:t>English for IELTS Ⅱ</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3751" w:type="dxa"/>
            <w:vAlign w:val="center"/>
          </w:tcPr>
          <w:p>
            <w:pPr>
              <w:adjustRightInd w:val="0"/>
              <w:spacing w:line="240" w:lineRule="exact"/>
              <w:jc w:val="left"/>
              <w:rPr>
                <w:rFonts w:eastAsia="仿宋_GB2312"/>
                <w:bCs/>
                <w:color w:val="auto"/>
                <w:sz w:val="18"/>
                <w:szCs w:val="18"/>
              </w:rPr>
            </w:pPr>
            <w:r>
              <w:rPr>
                <w:rFonts w:eastAsia="仿宋_GB2312"/>
                <w:bCs/>
                <w:color w:val="auto"/>
                <w:sz w:val="18"/>
                <w:szCs w:val="18"/>
              </w:rPr>
              <w:t>托福英语1</w:t>
            </w:r>
          </w:p>
          <w:p>
            <w:pPr>
              <w:adjustRightInd w:val="0"/>
              <w:spacing w:line="240" w:lineRule="exact"/>
              <w:jc w:val="left"/>
              <w:rPr>
                <w:rFonts w:eastAsia="仿宋_GB2312"/>
                <w:bCs/>
                <w:color w:val="auto"/>
                <w:sz w:val="18"/>
                <w:szCs w:val="18"/>
              </w:rPr>
            </w:pPr>
            <w:r>
              <w:rPr>
                <w:rFonts w:hint="eastAsia" w:eastAsia="仿宋_GB2312"/>
                <w:bCs/>
                <w:color w:val="auto"/>
                <w:sz w:val="18"/>
                <w:szCs w:val="18"/>
              </w:rPr>
              <w:t>English for TOEFL Ⅰ</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3751" w:type="dxa"/>
            <w:vAlign w:val="center"/>
          </w:tcPr>
          <w:p>
            <w:pPr>
              <w:adjustRightInd w:val="0"/>
              <w:spacing w:line="240" w:lineRule="exact"/>
              <w:jc w:val="left"/>
              <w:rPr>
                <w:rFonts w:eastAsia="仿宋_GB2312"/>
                <w:bCs/>
                <w:color w:val="auto"/>
                <w:sz w:val="18"/>
                <w:szCs w:val="18"/>
              </w:rPr>
            </w:pPr>
            <w:r>
              <w:rPr>
                <w:rFonts w:eastAsia="仿宋_GB2312"/>
                <w:bCs/>
                <w:color w:val="auto"/>
                <w:sz w:val="18"/>
                <w:szCs w:val="18"/>
              </w:rPr>
              <w:t>托福英语2</w:t>
            </w:r>
          </w:p>
          <w:p>
            <w:pPr>
              <w:adjustRightInd w:val="0"/>
              <w:spacing w:line="240" w:lineRule="exact"/>
              <w:jc w:val="left"/>
              <w:rPr>
                <w:rFonts w:eastAsia="仿宋_GB2312"/>
                <w:bCs/>
                <w:color w:val="auto"/>
                <w:sz w:val="18"/>
                <w:szCs w:val="18"/>
              </w:rPr>
            </w:pPr>
            <w:r>
              <w:rPr>
                <w:rFonts w:hint="eastAsia" w:eastAsia="仿宋_GB2312"/>
                <w:bCs/>
                <w:color w:val="auto"/>
                <w:sz w:val="18"/>
                <w:szCs w:val="18"/>
              </w:rPr>
              <w:t>English for TOEFL Ⅱ</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3751" w:type="dxa"/>
            <w:vAlign w:val="center"/>
          </w:tcPr>
          <w:p>
            <w:pPr>
              <w:adjustRightInd w:val="0"/>
              <w:spacing w:line="240" w:lineRule="exact"/>
              <w:jc w:val="left"/>
              <w:rPr>
                <w:rFonts w:eastAsia="仿宋_GB2312"/>
                <w:bCs/>
                <w:color w:val="auto"/>
                <w:sz w:val="18"/>
                <w:szCs w:val="18"/>
              </w:rPr>
            </w:pPr>
            <w:r>
              <w:rPr>
                <w:rFonts w:eastAsia="仿宋_GB2312"/>
                <w:bCs/>
                <w:color w:val="auto"/>
                <w:sz w:val="18"/>
                <w:szCs w:val="18"/>
              </w:rPr>
              <w:t>英美文学</w:t>
            </w:r>
          </w:p>
          <w:p>
            <w:pPr>
              <w:adjustRightInd w:val="0"/>
              <w:spacing w:line="240" w:lineRule="exact"/>
              <w:jc w:val="left"/>
              <w:rPr>
                <w:rFonts w:eastAsia="仿宋_GB2312"/>
                <w:bCs/>
                <w:color w:val="auto"/>
                <w:sz w:val="18"/>
                <w:szCs w:val="18"/>
              </w:rPr>
            </w:pPr>
            <w:r>
              <w:rPr>
                <w:rFonts w:hint="eastAsia" w:eastAsia="仿宋_GB2312"/>
                <w:bCs/>
                <w:color w:val="auto"/>
                <w:sz w:val="18"/>
                <w:szCs w:val="18"/>
              </w:rPr>
              <w:t>British and American Literature</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3751" w:type="dxa"/>
            <w:vAlign w:val="center"/>
          </w:tcPr>
          <w:p>
            <w:pPr>
              <w:adjustRightInd w:val="0"/>
              <w:spacing w:line="240" w:lineRule="exact"/>
              <w:jc w:val="left"/>
              <w:rPr>
                <w:rFonts w:eastAsia="仿宋_GB2312"/>
                <w:bCs/>
                <w:color w:val="auto"/>
                <w:sz w:val="18"/>
                <w:szCs w:val="18"/>
              </w:rPr>
            </w:pPr>
            <w:r>
              <w:rPr>
                <w:rFonts w:eastAsia="仿宋_GB2312"/>
                <w:bCs/>
                <w:color w:val="auto"/>
                <w:sz w:val="18"/>
                <w:szCs w:val="18"/>
              </w:rPr>
              <w:t>英语经典影片评论</w:t>
            </w:r>
          </w:p>
          <w:p>
            <w:pPr>
              <w:adjustRightInd w:val="0"/>
              <w:spacing w:line="240" w:lineRule="exact"/>
              <w:jc w:val="left"/>
              <w:rPr>
                <w:rFonts w:eastAsia="仿宋_GB2312"/>
                <w:bCs/>
                <w:color w:val="auto"/>
                <w:sz w:val="18"/>
                <w:szCs w:val="18"/>
              </w:rPr>
            </w:pPr>
            <w:r>
              <w:rPr>
                <w:rFonts w:hint="eastAsia" w:eastAsia="仿宋_GB2312"/>
                <w:bCs/>
                <w:color w:val="auto"/>
                <w:sz w:val="18"/>
                <w:szCs w:val="18"/>
              </w:rPr>
              <w:t>Review of Classic English Films</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3751" w:type="dxa"/>
            <w:vAlign w:val="center"/>
          </w:tcPr>
          <w:p>
            <w:pPr>
              <w:adjustRightInd w:val="0"/>
              <w:spacing w:line="240" w:lineRule="exact"/>
              <w:jc w:val="left"/>
              <w:rPr>
                <w:rFonts w:eastAsia="仿宋_GB2312"/>
                <w:bCs/>
                <w:color w:val="auto"/>
                <w:sz w:val="18"/>
                <w:szCs w:val="18"/>
              </w:rPr>
            </w:pPr>
            <w:r>
              <w:rPr>
                <w:rFonts w:eastAsia="仿宋_GB2312"/>
                <w:bCs/>
                <w:color w:val="auto"/>
                <w:sz w:val="18"/>
                <w:szCs w:val="18"/>
              </w:rPr>
              <w:t>艺术导论</w:t>
            </w:r>
          </w:p>
          <w:p>
            <w:pPr>
              <w:adjustRightInd w:val="0"/>
              <w:spacing w:line="240" w:lineRule="exact"/>
              <w:jc w:val="left"/>
              <w:rPr>
                <w:rFonts w:eastAsia="仿宋_GB2312"/>
                <w:bCs/>
                <w:color w:val="auto"/>
                <w:sz w:val="18"/>
                <w:szCs w:val="18"/>
              </w:rPr>
            </w:pPr>
            <w:r>
              <w:rPr>
                <w:rFonts w:hint="eastAsia" w:eastAsia="仿宋_GB2312"/>
                <w:bCs/>
                <w:color w:val="auto"/>
                <w:sz w:val="18"/>
                <w:szCs w:val="18"/>
              </w:rPr>
              <w:t xml:space="preserve">Introduction of Art </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restart"/>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美育模块</w:t>
            </w: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3751" w:type="dxa"/>
            <w:vAlign w:val="center"/>
          </w:tcPr>
          <w:p>
            <w:pPr>
              <w:adjustRightInd w:val="0"/>
              <w:spacing w:line="240" w:lineRule="exact"/>
              <w:jc w:val="left"/>
              <w:rPr>
                <w:rFonts w:eastAsia="仿宋_GB2312"/>
                <w:bCs/>
                <w:color w:val="auto"/>
                <w:sz w:val="18"/>
                <w:szCs w:val="18"/>
              </w:rPr>
            </w:pPr>
            <w:r>
              <w:rPr>
                <w:rFonts w:eastAsia="仿宋_GB2312"/>
                <w:bCs/>
                <w:color w:val="auto"/>
                <w:sz w:val="18"/>
                <w:szCs w:val="18"/>
              </w:rPr>
              <w:t>音乐鉴赏</w:t>
            </w:r>
          </w:p>
          <w:p>
            <w:pPr>
              <w:adjustRightInd w:val="0"/>
              <w:spacing w:line="240" w:lineRule="exact"/>
              <w:jc w:val="left"/>
              <w:rPr>
                <w:rFonts w:eastAsia="仿宋_GB2312"/>
                <w:bCs/>
                <w:color w:val="auto"/>
                <w:sz w:val="18"/>
                <w:szCs w:val="18"/>
              </w:rPr>
            </w:pPr>
            <w:r>
              <w:rPr>
                <w:rFonts w:hint="eastAsia" w:eastAsia="仿宋_GB2312"/>
                <w:bCs/>
                <w:color w:val="auto"/>
                <w:sz w:val="18"/>
                <w:szCs w:val="18"/>
              </w:rPr>
              <w:t>Appreciation of music</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美术鉴赏</w:t>
            </w:r>
          </w:p>
          <w:p>
            <w:pPr>
              <w:adjustRightInd w:val="0"/>
              <w:spacing w:line="240" w:lineRule="exact"/>
              <w:rPr>
                <w:rFonts w:eastAsia="仿宋_GB2312"/>
                <w:bCs/>
                <w:color w:val="auto"/>
                <w:sz w:val="18"/>
                <w:szCs w:val="18"/>
              </w:rPr>
            </w:pPr>
            <w:r>
              <w:rPr>
                <w:rFonts w:hint="eastAsia" w:eastAsia="仿宋_GB2312"/>
                <w:bCs/>
                <w:color w:val="auto"/>
                <w:sz w:val="18"/>
                <w:szCs w:val="18"/>
              </w:rPr>
              <w:t>Appreciation of art</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影视鉴赏</w:t>
            </w:r>
          </w:p>
          <w:p>
            <w:pPr>
              <w:adjustRightInd w:val="0"/>
              <w:spacing w:line="240" w:lineRule="exact"/>
              <w:rPr>
                <w:rFonts w:eastAsia="仿宋_GB2312"/>
                <w:bCs/>
                <w:color w:val="auto"/>
                <w:sz w:val="18"/>
                <w:szCs w:val="18"/>
              </w:rPr>
            </w:pPr>
            <w:r>
              <w:rPr>
                <w:rFonts w:hint="eastAsia" w:eastAsia="仿宋_GB2312"/>
                <w:bCs/>
                <w:color w:val="auto"/>
                <w:sz w:val="18"/>
                <w:szCs w:val="18"/>
              </w:rPr>
              <w:t>Film Appreciation</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戏剧鉴赏</w:t>
            </w:r>
          </w:p>
          <w:p>
            <w:pPr>
              <w:adjustRightInd w:val="0"/>
              <w:spacing w:line="240" w:lineRule="exact"/>
              <w:rPr>
                <w:rFonts w:eastAsia="仿宋_GB2312"/>
                <w:bCs/>
                <w:color w:val="auto"/>
                <w:sz w:val="18"/>
                <w:szCs w:val="18"/>
              </w:rPr>
            </w:pPr>
            <w:r>
              <w:rPr>
                <w:rFonts w:hint="eastAsia" w:eastAsia="仿宋_GB2312"/>
                <w:bCs/>
                <w:color w:val="auto"/>
                <w:sz w:val="18"/>
                <w:szCs w:val="18"/>
              </w:rPr>
              <w:t>Appreciation of Drama</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舞蹈鉴赏</w:t>
            </w:r>
          </w:p>
          <w:p>
            <w:pPr>
              <w:adjustRightInd w:val="0"/>
              <w:spacing w:line="240" w:lineRule="exact"/>
              <w:rPr>
                <w:rFonts w:eastAsia="仿宋_GB2312"/>
                <w:bCs/>
                <w:color w:val="auto"/>
                <w:sz w:val="18"/>
                <w:szCs w:val="18"/>
              </w:rPr>
            </w:pPr>
            <w:r>
              <w:rPr>
                <w:rFonts w:hint="eastAsia" w:eastAsia="仿宋_GB2312"/>
                <w:bCs/>
                <w:color w:val="auto"/>
                <w:sz w:val="18"/>
                <w:szCs w:val="18"/>
              </w:rPr>
              <w:t>Appreciation of dancing</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书法鉴赏</w:t>
            </w:r>
          </w:p>
          <w:p>
            <w:pPr>
              <w:adjustRightInd w:val="0"/>
              <w:spacing w:line="240" w:lineRule="exact"/>
              <w:rPr>
                <w:rFonts w:eastAsia="仿宋_GB2312"/>
                <w:bCs/>
                <w:color w:val="auto"/>
                <w:sz w:val="18"/>
                <w:szCs w:val="18"/>
              </w:rPr>
            </w:pPr>
            <w:r>
              <w:rPr>
                <w:rFonts w:hint="eastAsia" w:eastAsia="仿宋_GB2312"/>
                <w:bCs/>
                <w:color w:val="auto"/>
                <w:sz w:val="18"/>
                <w:szCs w:val="18"/>
              </w:rPr>
              <w:t>Appreciation of calligraphy</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戏曲鉴赏</w:t>
            </w:r>
          </w:p>
          <w:p>
            <w:pPr>
              <w:adjustRightInd w:val="0"/>
              <w:spacing w:line="240" w:lineRule="exact"/>
              <w:rPr>
                <w:rFonts w:eastAsia="仿宋_GB2312"/>
                <w:bCs/>
                <w:color w:val="auto"/>
                <w:sz w:val="18"/>
                <w:szCs w:val="18"/>
              </w:rPr>
            </w:pPr>
            <w:r>
              <w:rPr>
                <w:rFonts w:hint="eastAsia" w:eastAsia="仿宋_GB2312"/>
                <w:bCs/>
                <w:color w:val="auto"/>
                <w:sz w:val="18"/>
                <w:szCs w:val="18"/>
              </w:rPr>
              <w:t>Appreciation on Ancient Chinese Opera</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中国农业古籍概览</w:t>
            </w:r>
          </w:p>
          <w:p>
            <w:pPr>
              <w:adjustRightInd w:val="0"/>
              <w:spacing w:line="240" w:lineRule="exact"/>
              <w:rPr>
                <w:rFonts w:eastAsia="仿宋_GB2312"/>
                <w:bCs/>
                <w:color w:val="auto"/>
                <w:sz w:val="18"/>
                <w:szCs w:val="18"/>
              </w:rPr>
            </w:pPr>
            <w:r>
              <w:rPr>
                <w:rFonts w:hint="eastAsia" w:eastAsia="仿宋_GB2312"/>
                <w:bCs/>
                <w:color w:val="auto"/>
                <w:sz w:val="18"/>
                <w:szCs w:val="18"/>
              </w:rPr>
              <w:t>An Introduction to Ancient Chinese Agricultural Books</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restart"/>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思政模块</w:t>
            </w:r>
          </w:p>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西方哲学思潮</w:t>
            </w:r>
          </w:p>
          <w:p>
            <w:pPr>
              <w:adjustRightInd w:val="0"/>
              <w:spacing w:line="240" w:lineRule="exact"/>
              <w:rPr>
                <w:rFonts w:eastAsia="仿宋_GB2312"/>
                <w:bCs/>
                <w:color w:val="auto"/>
                <w:sz w:val="18"/>
                <w:szCs w:val="18"/>
              </w:rPr>
            </w:pPr>
            <w:r>
              <w:rPr>
                <w:rFonts w:hint="eastAsia" w:eastAsia="仿宋_GB2312"/>
                <w:bCs/>
                <w:color w:val="auto"/>
                <w:sz w:val="18"/>
                <w:szCs w:val="18"/>
              </w:rPr>
              <w:t>Trend of Thoughts in Western Philosophy</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西方哲学史</w:t>
            </w:r>
          </w:p>
          <w:p>
            <w:pPr>
              <w:adjustRightInd w:val="0"/>
              <w:spacing w:line="240" w:lineRule="exact"/>
              <w:rPr>
                <w:rFonts w:eastAsia="仿宋_GB2312"/>
                <w:bCs/>
                <w:color w:val="auto"/>
                <w:sz w:val="18"/>
                <w:szCs w:val="18"/>
              </w:rPr>
            </w:pPr>
            <w:r>
              <w:rPr>
                <w:rFonts w:hint="eastAsia" w:eastAsia="仿宋_GB2312"/>
                <w:bCs/>
                <w:color w:val="auto"/>
                <w:sz w:val="18"/>
                <w:szCs w:val="18"/>
              </w:rPr>
              <w:t>History of Western Philosophy</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宗教与中国社会</w:t>
            </w:r>
          </w:p>
          <w:p>
            <w:pPr>
              <w:adjustRightInd w:val="0"/>
              <w:spacing w:line="240" w:lineRule="exact"/>
              <w:rPr>
                <w:rFonts w:eastAsia="仿宋_GB2312"/>
                <w:bCs/>
                <w:color w:val="auto"/>
                <w:sz w:val="18"/>
                <w:szCs w:val="18"/>
              </w:rPr>
            </w:pPr>
            <w:r>
              <w:rPr>
                <w:rFonts w:hint="eastAsia" w:eastAsia="仿宋_GB2312"/>
                <w:bCs/>
                <w:color w:val="auto"/>
                <w:sz w:val="18"/>
                <w:szCs w:val="18"/>
              </w:rPr>
              <w:t>Religion and Chinese Society</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中国文化史</w:t>
            </w:r>
          </w:p>
          <w:p>
            <w:pPr>
              <w:adjustRightInd w:val="0"/>
              <w:spacing w:line="240" w:lineRule="exact"/>
              <w:rPr>
                <w:rFonts w:eastAsia="仿宋_GB2312"/>
                <w:bCs/>
                <w:color w:val="auto"/>
                <w:sz w:val="18"/>
                <w:szCs w:val="18"/>
              </w:rPr>
            </w:pPr>
            <w:r>
              <w:rPr>
                <w:rFonts w:hint="eastAsia" w:eastAsia="仿宋_GB2312"/>
                <w:bCs/>
                <w:color w:val="auto"/>
                <w:sz w:val="18"/>
                <w:szCs w:val="18"/>
              </w:rPr>
              <w:t>History of Chinese Culture</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办公自动化</w:t>
            </w:r>
          </w:p>
          <w:p>
            <w:pPr>
              <w:adjustRightInd w:val="0"/>
              <w:spacing w:line="240" w:lineRule="exact"/>
              <w:rPr>
                <w:rFonts w:eastAsia="仿宋_GB2312"/>
                <w:bCs/>
                <w:color w:val="auto"/>
                <w:sz w:val="18"/>
                <w:szCs w:val="18"/>
              </w:rPr>
            </w:pPr>
            <w:r>
              <w:rPr>
                <w:rFonts w:hint="eastAsia" w:eastAsia="仿宋_GB2312"/>
                <w:bCs/>
                <w:color w:val="auto"/>
                <w:sz w:val="18"/>
                <w:szCs w:val="18"/>
              </w:rPr>
              <w:t>Office Automation</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16</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16</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restart"/>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计算机模块</w:t>
            </w:r>
          </w:p>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多媒体技术应用</w:t>
            </w:r>
          </w:p>
          <w:p>
            <w:pPr>
              <w:adjustRightInd w:val="0"/>
              <w:spacing w:line="240" w:lineRule="exact"/>
              <w:rPr>
                <w:rFonts w:eastAsia="仿宋_GB2312"/>
                <w:bCs/>
                <w:color w:val="auto"/>
                <w:sz w:val="18"/>
                <w:szCs w:val="18"/>
              </w:rPr>
            </w:pPr>
            <w:r>
              <w:rPr>
                <w:rFonts w:hint="eastAsia" w:eastAsia="仿宋_GB2312"/>
                <w:bCs/>
                <w:color w:val="auto"/>
                <w:sz w:val="18"/>
                <w:szCs w:val="18"/>
              </w:rPr>
              <w:t>The Application of Multimedia Technology</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16</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16</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网络技术应用</w:t>
            </w:r>
          </w:p>
          <w:p>
            <w:pPr>
              <w:adjustRightInd w:val="0"/>
              <w:spacing w:line="240" w:lineRule="exact"/>
              <w:rPr>
                <w:rFonts w:eastAsia="仿宋_GB2312"/>
                <w:bCs/>
                <w:color w:val="auto"/>
                <w:sz w:val="18"/>
                <w:szCs w:val="18"/>
              </w:rPr>
            </w:pPr>
            <w:r>
              <w:rPr>
                <w:rFonts w:hint="eastAsia" w:eastAsia="仿宋_GB2312"/>
                <w:bCs/>
                <w:color w:val="auto"/>
                <w:sz w:val="18"/>
                <w:szCs w:val="18"/>
              </w:rPr>
              <w:t xml:space="preserve">The Application of Network Technology </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16</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16</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1737" w:type="dxa"/>
            <w:gridSpan w:val="2"/>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中国古代小说名作鉴赏</w:t>
            </w:r>
          </w:p>
          <w:p>
            <w:pPr>
              <w:adjustRightInd w:val="0"/>
              <w:spacing w:line="240" w:lineRule="exact"/>
              <w:rPr>
                <w:rFonts w:eastAsia="仿宋_GB2312"/>
                <w:bCs/>
                <w:color w:val="auto"/>
                <w:sz w:val="18"/>
                <w:szCs w:val="18"/>
              </w:rPr>
            </w:pPr>
            <w:r>
              <w:rPr>
                <w:rFonts w:hint="eastAsia" w:eastAsia="仿宋_GB2312"/>
                <w:bCs/>
                <w:color w:val="auto"/>
                <w:sz w:val="18"/>
                <w:szCs w:val="18"/>
              </w:rPr>
              <w:t>Appreciation of Ancient Chinese Novels</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864" w:type="dxa"/>
            <w:vMerge w:val="restart"/>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文学与文化类</w:t>
            </w:r>
          </w:p>
        </w:tc>
        <w:tc>
          <w:tcPr>
            <w:tcW w:w="873" w:type="dxa"/>
            <w:vMerge w:val="restart"/>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中国语言文学与优秀传统文化模块</w:t>
            </w: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4090029</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中国古代诗词名作鉴赏</w:t>
            </w:r>
          </w:p>
          <w:p>
            <w:pPr>
              <w:adjustRightInd w:val="0"/>
              <w:spacing w:line="240" w:lineRule="exact"/>
              <w:rPr>
                <w:rFonts w:eastAsia="仿宋_GB2312"/>
                <w:bCs/>
                <w:color w:val="auto"/>
                <w:sz w:val="18"/>
                <w:szCs w:val="18"/>
              </w:rPr>
            </w:pPr>
            <w:r>
              <w:rPr>
                <w:rFonts w:hint="eastAsia" w:eastAsia="仿宋_GB2312"/>
                <w:bCs/>
                <w:color w:val="auto"/>
                <w:sz w:val="18"/>
                <w:szCs w:val="18"/>
              </w:rPr>
              <w:t>Appreciation of Ancient Chinese Poetry</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864" w:type="dxa"/>
            <w:vMerge w:val="continue"/>
            <w:vAlign w:val="center"/>
          </w:tcPr>
          <w:p>
            <w:pPr>
              <w:adjustRightInd w:val="0"/>
              <w:spacing w:line="240" w:lineRule="exact"/>
              <w:jc w:val="center"/>
              <w:rPr>
                <w:rFonts w:eastAsia="仿宋_GB2312"/>
                <w:bCs/>
                <w:color w:val="auto"/>
                <w:sz w:val="18"/>
                <w:szCs w:val="18"/>
              </w:rPr>
            </w:pPr>
          </w:p>
        </w:tc>
        <w:tc>
          <w:tcPr>
            <w:tcW w:w="873" w:type="dxa"/>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中国现当代文学名作鉴赏</w:t>
            </w:r>
          </w:p>
          <w:p>
            <w:pPr>
              <w:adjustRightInd w:val="0"/>
              <w:spacing w:line="240" w:lineRule="exact"/>
              <w:rPr>
                <w:rFonts w:eastAsia="仿宋_GB2312"/>
                <w:bCs/>
                <w:color w:val="auto"/>
                <w:sz w:val="18"/>
                <w:szCs w:val="18"/>
              </w:rPr>
            </w:pPr>
            <w:r>
              <w:rPr>
                <w:rFonts w:hint="eastAsia" w:eastAsia="仿宋_GB2312"/>
                <w:bCs/>
                <w:color w:val="auto"/>
                <w:sz w:val="18"/>
                <w:szCs w:val="18"/>
              </w:rPr>
              <w:t>Introduction to Modern and Contemporary Chinese Literary Classics</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864" w:type="dxa"/>
            <w:vMerge w:val="continue"/>
            <w:vAlign w:val="center"/>
          </w:tcPr>
          <w:p>
            <w:pPr>
              <w:adjustRightInd w:val="0"/>
              <w:spacing w:line="240" w:lineRule="exact"/>
              <w:jc w:val="center"/>
              <w:rPr>
                <w:rFonts w:eastAsia="仿宋_GB2312"/>
                <w:bCs/>
                <w:color w:val="auto"/>
                <w:sz w:val="18"/>
                <w:szCs w:val="18"/>
              </w:rPr>
            </w:pPr>
          </w:p>
        </w:tc>
        <w:tc>
          <w:tcPr>
            <w:tcW w:w="873" w:type="dxa"/>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语言文字与文化</w:t>
            </w:r>
          </w:p>
          <w:p>
            <w:pPr>
              <w:adjustRightInd w:val="0"/>
              <w:spacing w:line="240" w:lineRule="exact"/>
              <w:rPr>
                <w:rFonts w:eastAsia="仿宋_GB2312"/>
                <w:bCs/>
                <w:color w:val="auto"/>
                <w:sz w:val="18"/>
                <w:szCs w:val="18"/>
              </w:rPr>
            </w:pPr>
            <w:r>
              <w:rPr>
                <w:rFonts w:hint="eastAsia" w:eastAsia="仿宋_GB2312"/>
                <w:bCs/>
                <w:color w:val="auto"/>
                <w:sz w:val="18"/>
                <w:szCs w:val="18"/>
              </w:rPr>
              <w:t>Language Characters and Culture</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864" w:type="dxa"/>
            <w:vMerge w:val="restart"/>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语言与文化类</w:t>
            </w:r>
          </w:p>
        </w:tc>
        <w:tc>
          <w:tcPr>
            <w:tcW w:w="873" w:type="dxa"/>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对外汉语教学与实践</w:t>
            </w:r>
          </w:p>
          <w:p>
            <w:pPr>
              <w:adjustRightInd w:val="0"/>
              <w:spacing w:line="240" w:lineRule="exact"/>
              <w:rPr>
                <w:rFonts w:eastAsia="仿宋_GB2312"/>
                <w:bCs/>
                <w:color w:val="auto"/>
                <w:sz w:val="18"/>
                <w:szCs w:val="18"/>
              </w:rPr>
            </w:pPr>
            <w:r>
              <w:rPr>
                <w:rFonts w:hint="eastAsia" w:eastAsia="仿宋_GB2312"/>
                <w:bCs/>
                <w:color w:val="auto"/>
                <w:sz w:val="18"/>
                <w:szCs w:val="18"/>
              </w:rPr>
              <w:t>Theory and Practice of Teaching Chinese as a Foreign Language</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864" w:type="dxa"/>
            <w:vMerge w:val="continue"/>
            <w:vAlign w:val="center"/>
          </w:tcPr>
          <w:p>
            <w:pPr>
              <w:adjustRightInd w:val="0"/>
              <w:spacing w:line="240" w:lineRule="exact"/>
              <w:jc w:val="center"/>
              <w:rPr>
                <w:rFonts w:eastAsia="仿宋_GB2312"/>
                <w:bCs/>
                <w:color w:val="auto"/>
                <w:sz w:val="18"/>
                <w:szCs w:val="18"/>
              </w:rPr>
            </w:pPr>
          </w:p>
        </w:tc>
        <w:tc>
          <w:tcPr>
            <w:tcW w:w="873" w:type="dxa"/>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语言修辞与人际交往</w:t>
            </w:r>
          </w:p>
          <w:p>
            <w:pPr>
              <w:adjustRightInd w:val="0"/>
              <w:spacing w:line="240" w:lineRule="exact"/>
              <w:rPr>
                <w:rFonts w:eastAsia="仿宋_GB2312"/>
                <w:bCs/>
                <w:color w:val="auto"/>
                <w:sz w:val="18"/>
                <w:szCs w:val="18"/>
              </w:rPr>
            </w:pPr>
            <w:r>
              <w:rPr>
                <w:rFonts w:hint="eastAsia" w:eastAsia="仿宋_GB2312"/>
                <w:bCs/>
                <w:color w:val="auto"/>
                <w:sz w:val="18"/>
                <w:szCs w:val="18"/>
              </w:rPr>
              <w:t>Language Rhetoric and Interpersonal Communication</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864" w:type="dxa"/>
            <w:vMerge w:val="continue"/>
            <w:vAlign w:val="center"/>
          </w:tcPr>
          <w:p>
            <w:pPr>
              <w:adjustRightInd w:val="0"/>
              <w:spacing w:line="240" w:lineRule="exact"/>
              <w:jc w:val="center"/>
              <w:rPr>
                <w:rFonts w:eastAsia="仿宋_GB2312"/>
                <w:bCs/>
                <w:color w:val="auto"/>
                <w:sz w:val="18"/>
                <w:szCs w:val="18"/>
              </w:rPr>
            </w:pPr>
          </w:p>
        </w:tc>
        <w:tc>
          <w:tcPr>
            <w:tcW w:w="873" w:type="dxa"/>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4090034</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社交语言艺术</w:t>
            </w:r>
          </w:p>
          <w:p>
            <w:pPr>
              <w:adjustRightInd w:val="0"/>
              <w:spacing w:line="240" w:lineRule="exact"/>
              <w:rPr>
                <w:rFonts w:eastAsia="仿宋_GB2312"/>
                <w:bCs/>
                <w:color w:val="auto"/>
                <w:sz w:val="18"/>
                <w:szCs w:val="18"/>
              </w:rPr>
            </w:pPr>
            <w:r>
              <w:rPr>
                <w:rFonts w:hint="eastAsia" w:eastAsia="仿宋_GB2312"/>
                <w:bCs/>
                <w:color w:val="auto"/>
                <w:sz w:val="18"/>
                <w:szCs w:val="18"/>
              </w:rPr>
              <w:t xml:space="preserve">Art of Social Language  </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864" w:type="dxa"/>
            <w:vMerge w:val="continue"/>
            <w:vAlign w:val="center"/>
          </w:tcPr>
          <w:p>
            <w:pPr>
              <w:adjustRightInd w:val="0"/>
              <w:spacing w:line="240" w:lineRule="exact"/>
              <w:jc w:val="center"/>
              <w:rPr>
                <w:rFonts w:eastAsia="仿宋_GB2312"/>
                <w:bCs/>
                <w:color w:val="auto"/>
                <w:sz w:val="18"/>
                <w:szCs w:val="18"/>
              </w:rPr>
            </w:pPr>
          </w:p>
        </w:tc>
        <w:tc>
          <w:tcPr>
            <w:tcW w:w="873" w:type="dxa"/>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演讲与口才</w:t>
            </w:r>
          </w:p>
          <w:p>
            <w:pPr>
              <w:adjustRightInd w:val="0"/>
              <w:spacing w:line="240" w:lineRule="exact"/>
              <w:rPr>
                <w:rFonts w:eastAsia="仿宋_GB2312"/>
                <w:bCs/>
                <w:color w:val="auto"/>
                <w:sz w:val="18"/>
                <w:szCs w:val="18"/>
              </w:rPr>
            </w:pPr>
            <w:r>
              <w:rPr>
                <w:rFonts w:hint="eastAsia" w:eastAsia="仿宋_GB2312"/>
                <w:bCs/>
                <w:color w:val="auto"/>
                <w:sz w:val="18"/>
                <w:szCs w:val="18"/>
              </w:rPr>
              <w:t>Speech and Eloquence</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864" w:type="dxa"/>
            <w:vMerge w:val="continue"/>
            <w:vAlign w:val="center"/>
          </w:tcPr>
          <w:p>
            <w:pPr>
              <w:adjustRightInd w:val="0"/>
              <w:spacing w:line="240" w:lineRule="exact"/>
              <w:jc w:val="center"/>
              <w:rPr>
                <w:rFonts w:eastAsia="仿宋_GB2312"/>
                <w:bCs/>
                <w:color w:val="auto"/>
                <w:sz w:val="18"/>
                <w:szCs w:val="18"/>
              </w:rPr>
            </w:pPr>
          </w:p>
        </w:tc>
        <w:tc>
          <w:tcPr>
            <w:tcW w:w="873" w:type="dxa"/>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普通话训练与测试</w:t>
            </w:r>
          </w:p>
          <w:p>
            <w:pPr>
              <w:adjustRightInd w:val="0"/>
              <w:spacing w:line="240" w:lineRule="exact"/>
              <w:rPr>
                <w:rFonts w:eastAsia="仿宋_GB2312"/>
                <w:bCs/>
                <w:color w:val="auto"/>
                <w:sz w:val="18"/>
                <w:szCs w:val="18"/>
              </w:rPr>
            </w:pPr>
            <w:r>
              <w:rPr>
                <w:rFonts w:hint="eastAsia" w:eastAsia="仿宋_GB2312"/>
                <w:bCs/>
                <w:color w:val="auto"/>
                <w:sz w:val="18"/>
                <w:szCs w:val="18"/>
              </w:rPr>
              <w:t>Mandarine Practice and Testing</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864" w:type="dxa"/>
            <w:vMerge w:val="continue"/>
            <w:vAlign w:val="center"/>
          </w:tcPr>
          <w:p>
            <w:pPr>
              <w:adjustRightInd w:val="0"/>
              <w:spacing w:line="240" w:lineRule="exact"/>
              <w:jc w:val="center"/>
              <w:rPr>
                <w:rFonts w:eastAsia="仿宋_GB2312"/>
                <w:bCs/>
                <w:color w:val="auto"/>
                <w:sz w:val="18"/>
                <w:szCs w:val="18"/>
              </w:rPr>
            </w:pPr>
          </w:p>
        </w:tc>
        <w:tc>
          <w:tcPr>
            <w:tcW w:w="873" w:type="dxa"/>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4090037</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创意写作</w:t>
            </w:r>
          </w:p>
          <w:p>
            <w:pPr>
              <w:adjustRightInd w:val="0"/>
              <w:spacing w:line="240" w:lineRule="exact"/>
              <w:rPr>
                <w:rFonts w:eastAsia="仿宋_GB2312"/>
                <w:bCs/>
                <w:color w:val="auto"/>
                <w:sz w:val="18"/>
                <w:szCs w:val="18"/>
              </w:rPr>
            </w:pPr>
            <w:r>
              <w:rPr>
                <w:rFonts w:hint="eastAsia" w:eastAsia="仿宋_GB2312"/>
                <w:bCs/>
                <w:color w:val="auto"/>
                <w:sz w:val="18"/>
                <w:szCs w:val="18"/>
              </w:rPr>
              <w:t>Creative Writing</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864" w:type="dxa"/>
            <w:vMerge w:val="restart"/>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写作类</w:t>
            </w:r>
          </w:p>
        </w:tc>
        <w:tc>
          <w:tcPr>
            <w:tcW w:w="873" w:type="dxa"/>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4090038</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应用写作</w:t>
            </w:r>
          </w:p>
          <w:p>
            <w:pPr>
              <w:adjustRightInd w:val="0"/>
              <w:spacing w:line="240" w:lineRule="exact"/>
              <w:rPr>
                <w:rFonts w:eastAsia="仿宋_GB2312"/>
                <w:bCs/>
                <w:color w:val="auto"/>
                <w:sz w:val="18"/>
                <w:szCs w:val="18"/>
              </w:rPr>
            </w:pPr>
            <w:r>
              <w:rPr>
                <w:rFonts w:hint="eastAsia" w:eastAsia="仿宋_GB2312"/>
                <w:bCs/>
                <w:color w:val="auto"/>
                <w:sz w:val="18"/>
                <w:szCs w:val="18"/>
              </w:rPr>
              <w:t>Practical Writing</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864" w:type="dxa"/>
            <w:vMerge w:val="continue"/>
            <w:vAlign w:val="center"/>
          </w:tcPr>
          <w:p>
            <w:pPr>
              <w:adjustRightInd w:val="0"/>
              <w:spacing w:line="240" w:lineRule="exact"/>
              <w:jc w:val="center"/>
              <w:rPr>
                <w:rFonts w:eastAsia="仿宋_GB2312"/>
                <w:bCs/>
                <w:color w:val="auto"/>
                <w:sz w:val="18"/>
                <w:szCs w:val="18"/>
              </w:rPr>
            </w:pPr>
          </w:p>
        </w:tc>
        <w:tc>
          <w:tcPr>
            <w:tcW w:w="873" w:type="dxa"/>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中国传统文化概论</w:t>
            </w:r>
          </w:p>
          <w:p>
            <w:pPr>
              <w:adjustRightInd w:val="0"/>
              <w:spacing w:line="240" w:lineRule="exact"/>
              <w:rPr>
                <w:rFonts w:eastAsia="仿宋_GB2312"/>
                <w:bCs/>
                <w:color w:val="auto"/>
                <w:sz w:val="18"/>
                <w:szCs w:val="18"/>
              </w:rPr>
            </w:pPr>
            <w:r>
              <w:rPr>
                <w:rFonts w:hint="eastAsia" w:eastAsia="仿宋_GB2312"/>
                <w:bCs/>
                <w:color w:val="auto"/>
                <w:sz w:val="18"/>
                <w:szCs w:val="18"/>
              </w:rPr>
              <w:t>An Introduction to Chinese Classical Culture</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864" w:type="dxa"/>
            <w:vMerge w:val="restart"/>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传统文化类</w:t>
            </w:r>
          </w:p>
        </w:tc>
        <w:tc>
          <w:tcPr>
            <w:tcW w:w="873" w:type="dxa"/>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97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3751" w:type="dxa"/>
            <w:vAlign w:val="center"/>
          </w:tcPr>
          <w:p>
            <w:pPr>
              <w:adjustRightInd w:val="0"/>
              <w:spacing w:line="240" w:lineRule="exact"/>
              <w:rPr>
                <w:rFonts w:eastAsia="仿宋_GB2312"/>
                <w:bCs/>
                <w:color w:val="auto"/>
                <w:sz w:val="18"/>
                <w:szCs w:val="18"/>
              </w:rPr>
            </w:pPr>
            <w:r>
              <w:rPr>
                <w:rFonts w:eastAsia="仿宋_GB2312"/>
                <w:bCs/>
                <w:color w:val="auto"/>
                <w:sz w:val="18"/>
                <w:szCs w:val="18"/>
              </w:rPr>
              <w:t>中国社会思想史</w:t>
            </w:r>
          </w:p>
          <w:p>
            <w:pPr>
              <w:adjustRightInd w:val="0"/>
              <w:spacing w:line="240" w:lineRule="exact"/>
              <w:rPr>
                <w:rFonts w:eastAsia="仿宋_GB2312"/>
                <w:bCs/>
                <w:color w:val="auto"/>
                <w:sz w:val="18"/>
                <w:szCs w:val="18"/>
              </w:rPr>
            </w:pPr>
            <w:r>
              <w:rPr>
                <w:rFonts w:hint="eastAsia" w:eastAsia="仿宋_GB2312"/>
                <w:bCs/>
                <w:color w:val="auto"/>
                <w:sz w:val="18"/>
                <w:szCs w:val="18"/>
              </w:rPr>
              <w:t>History of Chinese Thought in Sociological Perspective</w:t>
            </w:r>
          </w:p>
        </w:tc>
        <w:tc>
          <w:tcPr>
            <w:tcW w:w="666"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892"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32</w:t>
            </w:r>
          </w:p>
        </w:tc>
        <w:tc>
          <w:tcPr>
            <w:tcW w:w="657"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0</w:t>
            </w:r>
          </w:p>
        </w:tc>
        <w:tc>
          <w:tcPr>
            <w:tcW w:w="671" w:type="dxa"/>
            <w:vAlign w:val="center"/>
          </w:tcPr>
          <w:p>
            <w:pPr>
              <w:adjustRightInd w:val="0"/>
              <w:spacing w:line="240" w:lineRule="exact"/>
              <w:jc w:val="center"/>
              <w:rPr>
                <w:rFonts w:eastAsia="仿宋_GB2312"/>
                <w:bCs/>
                <w:color w:val="auto"/>
                <w:sz w:val="18"/>
                <w:szCs w:val="18"/>
              </w:rPr>
            </w:pPr>
          </w:p>
        </w:tc>
        <w:tc>
          <w:tcPr>
            <w:tcW w:w="1141"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2-4</w:t>
            </w:r>
          </w:p>
        </w:tc>
        <w:tc>
          <w:tcPr>
            <w:tcW w:w="864" w:type="dxa"/>
            <w:vMerge w:val="continue"/>
            <w:vAlign w:val="center"/>
          </w:tcPr>
          <w:p>
            <w:pPr>
              <w:adjustRightInd w:val="0"/>
              <w:spacing w:line="240" w:lineRule="exact"/>
              <w:jc w:val="center"/>
              <w:rPr>
                <w:rFonts w:eastAsia="仿宋_GB2312"/>
                <w:bCs/>
                <w:color w:val="auto"/>
                <w:sz w:val="18"/>
                <w:szCs w:val="18"/>
              </w:rPr>
            </w:pPr>
          </w:p>
        </w:tc>
        <w:tc>
          <w:tcPr>
            <w:tcW w:w="873" w:type="dxa"/>
            <w:vMerge w:val="continue"/>
            <w:vAlign w:val="center"/>
          </w:tcPr>
          <w:p>
            <w:pPr>
              <w:adjustRightInd w:val="0"/>
              <w:spacing w:line="240" w:lineRule="exact"/>
              <w:jc w:val="center"/>
              <w:rPr>
                <w:rFonts w:eastAsia="仿宋_GB2312"/>
                <w:bCs/>
                <w:color w:val="auto"/>
                <w:sz w:val="18"/>
                <w:szCs w:val="18"/>
              </w:rPr>
            </w:pPr>
          </w:p>
        </w:tc>
        <w:tc>
          <w:tcPr>
            <w:tcW w:w="20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06" w:type="dxa"/>
            <w:vMerge w:val="continue"/>
            <w:vAlign w:val="center"/>
          </w:tcPr>
          <w:p>
            <w:pPr>
              <w:adjustRightInd w:val="0"/>
              <w:spacing w:line="240" w:lineRule="exact"/>
              <w:jc w:val="center"/>
              <w:rPr>
                <w:rFonts w:eastAsia="仿宋_GB2312"/>
                <w:bCs/>
                <w:color w:val="auto"/>
                <w:sz w:val="18"/>
                <w:szCs w:val="18"/>
              </w:rPr>
            </w:pPr>
          </w:p>
        </w:tc>
        <w:tc>
          <w:tcPr>
            <w:tcW w:w="13256" w:type="dxa"/>
            <w:gridSpan w:val="11"/>
          </w:tcPr>
          <w:p>
            <w:pPr>
              <w:adjustRightInd w:val="0"/>
              <w:spacing w:line="240" w:lineRule="exact"/>
              <w:ind w:firstLine="360" w:firstLineChars="200"/>
              <w:rPr>
                <w:rFonts w:eastAsia="仿宋_GB2312"/>
                <w:bCs/>
                <w:color w:val="auto"/>
                <w:sz w:val="18"/>
                <w:szCs w:val="18"/>
              </w:rPr>
            </w:pPr>
            <w:r>
              <w:rPr>
                <w:rFonts w:eastAsia="仿宋_GB2312"/>
                <w:bCs/>
                <w:color w:val="auto"/>
                <w:sz w:val="18"/>
                <w:szCs w:val="18"/>
              </w:rPr>
              <w:t>学期：</w:t>
            </w:r>
            <w:r>
              <w:rPr>
                <w:rFonts w:hint="eastAsia" w:eastAsia="仿宋_GB2312"/>
                <w:bCs/>
                <w:color w:val="auto"/>
                <w:sz w:val="18"/>
                <w:szCs w:val="18"/>
              </w:rPr>
              <w:t xml:space="preserve"> </w:t>
            </w:r>
            <w:r>
              <w:rPr>
                <w:rFonts w:eastAsia="仿宋_GB2312"/>
                <w:bCs/>
                <w:color w:val="auto"/>
                <w:sz w:val="18"/>
                <w:szCs w:val="18"/>
              </w:rPr>
              <w:t>一</w:t>
            </w:r>
            <w:r>
              <w:rPr>
                <w:rFonts w:hint="eastAsia" w:eastAsia="仿宋_GB2312"/>
                <w:bCs/>
                <w:color w:val="auto"/>
                <w:sz w:val="18"/>
                <w:szCs w:val="18"/>
              </w:rPr>
              <w:t xml:space="preserve">   </w:t>
            </w:r>
            <w:r>
              <w:rPr>
                <w:rFonts w:eastAsia="仿宋_GB2312"/>
                <w:bCs/>
                <w:color w:val="auto"/>
                <w:sz w:val="18"/>
                <w:szCs w:val="18"/>
              </w:rPr>
              <w:t>二</w:t>
            </w:r>
            <w:r>
              <w:rPr>
                <w:rFonts w:hint="eastAsia" w:eastAsia="仿宋_GB2312"/>
                <w:bCs/>
                <w:color w:val="auto"/>
                <w:sz w:val="18"/>
                <w:szCs w:val="18"/>
              </w:rPr>
              <w:t xml:space="preserve"> </w:t>
            </w:r>
            <w:r>
              <w:rPr>
                <w:rFonts w:eastAsia="仿宋_GB2312"/>
                <w:bCs/>
                <w:color w:val="auto"/>
                <w:sz w:val="18"/>
                <w:szCs w:val="18"/>
              </w:rPr>
              <w:t xml:space="preserve">   三</w:t>
            </w:r>
            <w:r>
              <w:rPr>
                <w:rFonts w:hint="eastAsia" w:eastAsia="仿宋_GB2312"/>
                <w:bCs/>
                <w:color w:val="auto"/>
                <w:sz w:val="18"/>
                <w:szCs w:val="18"/>
              </w:rPr>
              <w:t xml:space="preserve">    </w:t>
            </w:r>
            <w:r>
              <w:rPr>
                <w:rFonts w:eastAsia="仿宋_GB2312"/>
                <w:bCs/>
                <w:color w:val="auto"/>
                <w:sz w:val="18"/>
                <w:szCs w:val="18"/>
              </w:rPr>
              <w:t>四</w:t>
            </w:r>
            <w:r>
              <w:rPr>
                <w:rFonts w:hint="eastAsia" w:eastAsia="仿宋_GB2312"/>
                <w:bCs/>
                <w:color w:val="auto"/>
                <w:sz w:val="18"/>
                <w:szCs w:val="18"/>
              </w:rPr>
              <w:t xml:space="preserve"> </w:t>
            </w:r>
            <w:r>
              <w:rPr>
                <w:rFonts w:eastAsia="仿宋_GB2312"/>
                <w:bCs/>
                <w:color w:val="auto"/>
                <w:sz w:val="18"/>
                <w:szCs w:val="18"/>
              </w:rPr>
              <w:t xml:space="preserve">    合计</w:t>
            </w:r>
          </w:p>
          <w:p>
            <w:pPr>
              <w:adjustRightInd w:val="0"/>
              <w:spacing w:line="240" w:lineRule="exact"/>
              <w:ind w:firstLine="368" w:firstLineChars="205"/>
              <w:rPr>
                <w:rFonts w:eastAsia="仿宋_GB2312"/>
                <w:bCs/>
                <w:color w:val="auto"/>
                <w:sz w:val="18"/>
                <w:szCs w:val="18"/>
              </w:rPr>
            </w:pPr>
            <w:r>
              <w:rPr>
                <w:rFonts w:eastAsia="仿宋_GB2312"/>
                <w:bCs/>
                <w:color w:val="auto"/>
                <w:sz w:val="18"/>
                <w:szCs w:val="18"/>
              </w:rPr>
              <w:t>学时：      32    32           64</w:t>
            </w:r>
          </w:p>
          <w:p>
            <w:pPr>
              <w:adjustRightInd w:val="0"/>
              <w:spacing w:line="240" w:lineRule="exact"/>
              <w:ind w:firstLine="368" w:firstLineChars="205"/>
              <w:rPr>
                <w:rFonts w:eastAsia="仿宋_GB2312"/>
                <w:bCs/>
                <w:color w:val="auto"/>
                <w:sz w:val="18"/>
                <w:szCs w:val="18"/>
              </w:rPr>
            </w:pPr>
            <w:r>
              <w:rPr>
                <w:rFonts w:eastAsia="仿宋_GB2312"/>
                <w:bCs/>
                <w:color w:val="auto"/>
                <w:sz w:val="18"/>
                <w:szCs w:val="18"/>
              </w:rPr>
              <w:t>学分：      2.0   2.0           4</w:t>
            </w:r>
          </w:p>
          <w:p>
            <w:pPr>
              <w:adjustRightInd w:val="0"/>
              <w:spacing w:line="240" w:lineRule="exact"/>
              <w:ind w:firstLine="368" w:firstLineChars="205"/>
              <w:rPr>
                <w:rFonts w:eastAsia="仿宋_GB2312"/>
                <w:bCs/>
                <w:color w:val="auto"/>
                <w:sz w:val="18"/>
                <w:szCs w:val="18"/>
              </w:rPr>
            </w:pPr>
            <w:r>
              <w:rPr>
                <w:rFonts w:eastAsia="仿宋_GB2312"/>
                <w:bCs/>
                <w:color w:val="auto"/>
                <w:sz w:val="18"/>
                <w:szCs w:val="18"/>
              </w:rPr>
              <w:t>注：至少选修4.0学分</w:t>
            </w:r>
          </w:p>
        </w:tc>
      </w:tr>
    </w:tbl>
    <w:p>
      <w:pPr>
        <w:adjustRightInd w:val="0"/>
        <w:snapToGrid w:val="0"/>
        <w:spacing w:line="320" w:lineRule="exact"/>
        <w:rPr>
          <w:rFonts w:eastAsiaTheme="minorEastAsia"/>
          <w:color w:val="auto"/>
          <w:kern w:val="0"/>
          <w:sz w:val="18"/>
          <w:szCs w:val="18"/>
        </w:rPr>
        <w:sectPr>
          <w:pgSz w:w="16838" w:h="11906" w:orient="landscape"/>
          <w:pgMar w:top="1531" w:right="1361" w:bottom="1021" w:left="1531" w:header="851" w:footer="1531" w:gutter="0"/>
          <w:pgNumType w:fmt="numberInDash"/>
          <w:cols w:space="0" w:num="1"/>
          <w:docGrid w:linePitch="312" w:charSpace="0"/>
        </w:sectPr>
      </w:pPr>
    </w:p>
    <w:p>
      <w:pPr>
        <w:adjustRightInd w:val="0"/>
        <w:spacing w:before="120" w:beforeLines="50" w:line="360" w:lineRule="auto"/>
        <w:ind w:firstLine="480" w:firstLineChars="200"/>
        <w:rPr>
          <w:rFonts w:ascii="仿宋_GB2312" w:eastAsia="仿宋_GB2312"/>
          <w:bCs/>
          <w:color w:val="auto"/>
          <w:sz w:val="24"/>
        </w:rPr>
      </w:pPr>
      <w:r>
        <w:rPr>
          <w:rFonts w:hint="eastAsia" w:ascii="仿宋_GB2312" w:eastAsia="仿宋_GB2312"/>
          <w:bCs/>
          <w:color w:val="auto"/>
          <w:sz w:val="24"/>
        </w:rPr>
        <w:t>（二）实践教学环节</w:t>
      </w:r>
    </w:p>
    <w:tbl>
      <w:tblPr>
        <w:tblStyle w:val="23"/>
        <w:tblW w:w="9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150"/>
        <w:gridCol w:w="3166"/>
        <w:gridCol w:w="720"/>
        <w:gridCol w:w="705"/>
        <w:gridCol w:w="1130"/>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61"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课程类型</w:t>
            </w:r>
          </w:p>
        </w:tc>
        <w:tc>
          <w:tcPr>
            <w:tcW w:w="1150"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3166"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720"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705"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开设学期</w:t>
            </w:r>
          </w:p>
        </w:tc>
        <w:tc>
          <w:tcPr>
            <w:tcW w:w="1130"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时间</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（周）</w:t>
            </w:r>
          </w:p>
        </w:tc>
        <w:tc>
          <w:tcPr>
            <w:tcW w:w="1298"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开课</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61" w:type="dxa"/>
            <w:vAlign w:val="center"/>
          </w:tcPr>
          <w:p>
            <w:pPr>
              <w:adjustRightInd w:val="0"/>
              <w:snapToGrid w:val="0"/>
              <w:spacing w:line="240" w:lineRule="exact"/>
              <w:jc w:val="center"/>
              <w:rPr>
                <w:rFonts w:eastAsia="仿宋_GB2312"/>
                <w:b/>
                <w:color w:val="auto"/>
                <w:sz w:val="18"/>
                <w:szCs w:val="18"/>
              </w:rPr>
            </w:pPr>
            <w:bookmarkStart w:id="0" w:name="OLE_LINK27" w:colFirst="3" w:colLast="3"/>
            <w:bookmarkStart w:id="1" w:name="OLE_LINK28" w:colFirst="3" w:colLast="3"/>
            <w:bookmarkStart w:id="2" w:name="OLE_LINK10" w:colFirst="3" w:colLast="3"/>
            <w:bookmarkStart w:id="3" w:name="_Hlk371083064"/>
            <w:r>
              <w:rPr>
                <w:rFonts w:eastAsia="仿宋_GB2312"/>
                <w:b/>
                <w:color w:val="auto"/>
                <w:sz w:val="18"/>
                <w:szCs w:val="18"/>
              </w:rPr>
              <w:t>入学教育、军训</w:t>
            </w:r>
          </w:p>
        </w:tc>
        <w:tc>
          <w:tcPr>
            <w:tcW w:w="115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3166"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入学教育、军训（含军事技能）</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Entrance Education, Military Training (Including Military Skills)</w:t>
            </w:r>
          </w:p>
        </w:tc>
        <w:tc>
          <w:tcPr>
            <w:tcW w:w="72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0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13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9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61"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毕业教育</w:t>
            </w:r>
          </w:p>
        </w:tc>
        <w:tc>
          <w:tcPr>
            <w:tcW w:w="115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3166"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毕业教育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Graduate Education</w:t>
            </w:r>
          </w:p>
        </w:tc>
        <w:tc>
          <w:tcPr>
            <w:tcW w:w="72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13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29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建工学院</w:t>
            </w:r>
          </w:p>
        </w:tc>
      </w:tr>
      <w:bookmarkEnd w:id="0"/>
      <w:bookmarkEnd w:id="1"/>
      <w:bookmarkEnd w:id="2"/>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61"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创新创业实践</w:t>
            </w:r>
          </w:p>
        </w:tc>
        <w:tc>
          <w:tcPr>
            <w:tcW w:w="115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4080025</w:t>
            </w:r>
          </w:p>
        </w:tc>
        <w:tc>
          <w:tcPr>
            <w:tcW w:w="3166"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out of Classroom</w:t>
            </w:r>
          </w:p>
        </w:tc>
        <w:tc>
          <w:tcPr>
            <w:tcW w:w="72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70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1-4</w:t>
            </w:r>
          </w:p>
        </w:tc>
        <w:tc>
          <w:tcPr>
            <w:tcW w:w="113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9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61" w:type="dxa"/>
            <w:vMerge w:val="continue"/>
            <w:vAlign w:val="center"/>
          </w:tcPr>
          <w:p>
            <w:pPr>
              <w:adjustRightInd w:val="0"/>
              <w:snapToGrid w:val="0"/>
              <w:spacing w:line="240" w:lineRule="exact"/>
              <w:jc w:val="center"/>
              <w:rPr>
                <w:rFonts w:eastAsia="仿宋_GB2312"/>
                <w:b/>
                <w:color w:val="auto"/>
                <w:sz w:val="18"/>
                <w:szCs w:val="18"/>
              </w:rPr>
            </w:pPr>
          </w:p>
        </w:tc>
        <w:tc>
          <w:tcPr>
            <w:tcW w:w="115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3166"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Introduction to Entrepreneurship</w:t>
            </w:r>
          </w:p>
        </w:tc>
        <w:tc>
          <w:tcPr>
            <w:tcW w:w="72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70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13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29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61"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教学实习</w:t>
            </w:r>
          </w:p>
        </w:tc>
        <w:tc>
          <w:tcPr>
            <w:tcW w:w="115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4080006</w:t>
            </w:r>
          </w:p>
        </w:tc>
        <w:tc>
          <w:tcPr>
            <w:tcW w:w="3166"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工程经济学课程设计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Curriculum Design of Engineering Economics</w:t>
            </w:r>
          </w:p>
        </w:tc>
        <w:tc>
          <w:tcPr>
            <w:tcW w:w="72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0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130" w:type="dxa"/>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9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建筑工程学院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61" w:type="dxa"/>
            <w:vMerge w:val="continue"/>
            <w:vAlign w:val="center"/>
          </w:tcPr>
          <w:p>
            <w:pPr>
              <w:adjustRightInd w:val="0"/>
              <w:snapToGrid w:val="0"/>
              <w:spacing w:line="240" w:lineRule="exact"/>
              <w:jc w:val="center"/>
              <w:rPr>
                <w:rFonts w:eastAsia="仿宋_GB2312"/>
                <w:b/>
                <w:color w:val="auto"/>
                <w:sz w:val="18"/>
                <w:szCs w:val="18"/>
              </w:rPr>
            </w:pPr>
          </w:p>
        </w:tc>
        <w:tc>
          <w:tcPr>
            <w:tcW w:w="115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4080008</w:t>
            </w:r>
          </w:p>
        </w:tc>
        <w:tc>
          <w:tcPr>
            <w:tcW w:w="3166" w:type="dxa"/>
            <w:vAlign w:val="center"/>
          </w:tcPr>
          <w:p>
            <w:pPr>
              <w:widowControl/>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工程招投标与合同管理B</w:t>
            </w:r>
            <w:r>
              <w:rPr>
                <w:rFonts w:eastAsia="仿宋_GB2312"/>
                <w:bCs/>
                <w:color w:val="auto"/>
                <w:sz w:val="18"/>
                <w:szCs w:val="18"/>
              </w:rPr>
              <w:t>课程设计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Curriculum Design of Project Bidding and Contract Management</w:t>
            </w:r>
          </w:p>
        </w:tc>
        <w:tc>
          <w:tcPr>
            <w:tcW w:w="72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70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13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29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建筑工程学院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61" w:type="dxa"/>
            <w:vMerge w:val="continue"/>
            <w:vAlign w:val="center"/>
          </w:tcPr>
          <w:p>
            <w:pPr>
              <w:adjustRightInd w:val="0"/>
              <w:snapToGrid w:val="0"/>
              <w:spacing w:line="240" w:lineRule="exact"/>
              <w:jc w:val="center"/>
              <w:rPr>
                <w:rFonts w:eastAsia="仿宋_GB2312"/>
                <w:b/>
                <w:color w:val="auto"/>
                <w:sz w:val="18"/>
                <w:szCs w:val="18"/>
              </w:rPr>
            </w:pPr>
          </w:p>
        </w:tc>
        <w:tc>
          <w:tcPr>
            <w:tcW w:w="115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4080037</w:t>
            </w:r>
          </w:p>
        </w:tc>
        <w:tc>
          <w:tcPr>
            <w:tcW w:w="3166"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工程项目管理B</w:t>
            </w:r>
            <w:r>
              <w:rPr>
                <w:rFonts w:eastAsia="仿宋_GB2312"/>
                <w:bCs/>
                <w:color w:val="auto"/>
                <w:sz w:val="18"/>
                <w:szCs w:val="18"/>
              </w:rPr>
              <w:t>课程设计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Curriculum Design of Engineering Project Management</w:t>
            </w:r>
          </w:p>
        </w:tc>
        <w:tc>
          <w:tcPr>
            <w:tcW w:w="72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0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13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9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建筑工程学院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61" w:type="dxa"/>
            <w:vMerge w:val="continue"/>
            <w:vAlign w:val="center"/>
          </w:tcPr>
          <w:p>
            <w:pPr>
              <w:adjustRightInd w:val="0"/>
              <w:snapToGrid w:val="0"/>
              <w:spacing w:line="240" w:lineRule="exact"/>
              <w:jc w:val="center"/>
              <w:rPr>
                <w:rFonts w:eastAsia="仿宋_GB2312"/>
                <w:b/>
                <w:color w:val="auto"/>
                <w:sz w:val="18"/>
                <w:szCs w:val="18"/>
              </w:rPr>
            </w:pPr>
          </w:p>
        </w:tc>
        <w:tc>
          <w:tcPr>
            <w:tcW w:w="115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3166" w:type="dxa"/>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大学生就业指导</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Guidance for University Students</w:t>
            </w:r>
          </w:p>
        </w:tc>
        <w:tc>
          <w:tcPr>
            <w:tcW w:w="72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70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13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29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61" w:type="dxa"/>
            <w:vMerge w:val="continue"/>
            <w:vAlign w:val="center"/>
          </w:tcPr>
          <w:p>
            <w:pPr>
              <w:adjustRightInd w:val="0"/>
              <w:snapToGrid w:val="0"/>
              <w:spacing w:line="240" w:lineRule="exact"/>
              <w:jc w:val="center"/>
              <w:rPr>
                <w:rFonts w:eastAsia="仿宋_GB2312"/>
                <w:b/>
                <w:color w:val="auto"/>
                <w:sz w:val="18"/>
                <w:szCs w:val="18"/>
              </w:rPr>
            </w:pPr>
          </w:p>
        </w:tc>
        <w:tc>
          <w:tcPr>
            <w:tcW w:w="115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4080374</w:t>
            </w:r>
          </w:p>
        </w:tc>
        <w:tc>
          <w:tcPr>
            <w:tcW w:w="3166"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工程造价管理业务实践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Engineering Cost Management Comprehensive Practice</w:t>
            </w:r>
          </w:p>
        </w:tc>
        <w:tc>
          <w:tcPr>
            <w:tcW w:w="72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8.0</w:t>
            </w:r>
          </w:p>
        </w:tc>
        <w:tc>
          <w:tcPr>
            <w:tcW w:w="70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w:t>
            </w:r>
          </w:p>
        </w:tc>
        <w:tc>
          <w:tcPr>
            <w:tcW w:w="113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29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建筑工程学院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61"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毕业论文（设计）</w:t>
            </w:r>
          </w:p>
        </w:tc>
        <w:tc>
          <w:tcPr>
            <w:tcW w:w="115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4080373</w:t>
            </w:r>
          </w:p>
        </w:tc>
        <w:tc>
          <w:tcPr>
            <w:tcW w:w="3166"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工程造价（3+2）专业毕业论文（设计）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Engineering Cost Professional（3+2） Graduation Thesis (Design)</w:t>
            </w:r>
          </w:p>
        </w:tc>
        <w:tc>
          <w:tcPr>
            <w:tcW w:w="72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10.0</w:t>
            </w:r>
          </w:p>
        </w:tc>
        <w:tc>
          <w:tcPr>
            <w:tcW w:w="70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13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22</w:t>
            </w:r>
          </w:p>
        </w:tc>
        <w:tc>
          <w:tcPr>
            <w:tcW w:w="1298"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建筑工程学院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77" w:type="dxa"/>
            <w:gridSpan w:val="3"/>
            <w:vAlign w:val="center"/>
          </w:tcPr>
          <w:p>
            <w:pPr>
              <w:adjustRightInd w:val="0"/>
              <w:snapToGrid w:val="0"/>
              <w:spacing w:line="240" w:lineRule="exact"/>
              <w:jc w:val="center"/>
              <w:rPr>
                <w:rFonts w:eastAsia="仿宋_GB2312"/>
                <w:b/>
                <w:color w:val="auto"/>
                <w:sz w:val="18"/>
                <w:szCs w:val="18"/>
              </w:rPr>
            </w:pPr>
          </w:p>
        </w:tc>
        <w:tc>
          <w:tcPr>
            <w:tcW w:w="720"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 xml:space="preserve"> 28.0</w:t>
            </w:r>
          </w:p>
        </w:tc>
        <w:tc>
          <w:tcPr>
            <w:tcW w:w="705" w:type="dxa"/>
            <w:vAlign w:val="center"/>
          </w:tcPr>
          <w:p>
            <w:pPr>
              <w:adjustRightInd w:val="0"/>
              <w:snapToGrid w:val="0"/>
              <w:spacing w:line="240" w:lineRule="exact"/>
              <w:jc w:val="center"/>
              <w:rPr>
                <w:rFonts w:eastAsia="仿宋_GB2312"/>
                <w:b/>
                <w:color w:val="auto"/>
                <w:sz w:val="18"/>
                <w:szCs w:val="18"/>
              </w:rPr>
            </w:pPr>
          </w:p>
        </w:tc>
        <w:tc>
          <w:tcPr>
            <w:tcW w:w="1130" w:type="dxa"/>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37</w:t>
            </w:r>
            <w:r>
              <w:rPr>
                <w:rFonts w:eastAsia="仿宋_GB2312"/>
                <w:b/>
                <w:color w:val="auto"/>
                <w:sz w:val="18"/>
                <w:szCs w:val="18"/>
              </w:rPr>
              <w:t>+</w:t>
            </w:r>
            <w:r>
              <w:rPr>
                <w:rFonts w:hint="eastAsia" w:eastAsia="仿宋_GB2312"/>
                <w:b/>
                <w:color w:val="auto"/>
                <w:sz w:val="18"/>
                <w:szCs w:val="18"/>
              </w:rPr>
              <w:t>（9周）</w:t>
            </w:r>
          </w:p>
        </w:tc>
        <w:tc>
          <w:tcPr>
            <w:tcW w:w="1298" w:type="dxa"/>
            <w:vAlign w:val="center"/>
          </w:tcPr>
          <w:p>
            <w:pPr>
              <w:adjustRightInd w:val="0"/>
              <w:snapToGrid w:val="0"/>
              <w:spacing w:line="240" w:lineRule="exact"/>
              <w:jc w:val="center"/>
              <w:rPr>
                <w:rFonts w:eastAsia="仿宋_GB2312"/>
                <w:bCs/>
                <w:color w:val="auto"/>
                <w:sz w:val="18"/>
                <w:szCs w:val="18"/>
              </w:rPr>
            </w:pPr>
          </w:p>
        </w:tc>
      </w:tr>
    </w:tbl>
    <w:p>
      <w:pPr>
        <w:adjustRightInd w:val="0"/>
        <w:spacing w:line="360" w:lineRule="auto"/>
        <w:ind w:firstLine="600" w:firstLineChars="200"/>
        <w:rPr>
          <w:rFonts w:eastAsia="黑体"/>
          <w:bCs/>
          <w:color w:val="auto"/>
          <w:sz w:val="30"/>
          <w:szCs w:val="30"/>
        </w:rPr>
        <w:sectPr>
          <w:footerReference r:id="rId4" w:type="default"/>
          <w:footerReference r:id="rId5" w:type="even"/>
          <w:pgSz w:w="11906" w:h="16838"/>
          <w:pgMar w:top="1531" w:right="1361" w:bottom="1021" w:left="1531" w:header="851" w:footer="1531" w:gutter="0"/>
          <w:cols w:space="0" w:num="1"/>
          <w:docGrid w:linePitch="312" w:charSpace="0"/>
        </w:sectPr>
      </w:pPr>
    </w:p>
    <w:p>
      <w:pPr>
        <w:adjustRightInd w:val="0"/>
        <w:spacing w:line="360" w:lineRule="auto"/>
        <w:ind w:firstLine="560" w:firstLineChars="200"/>
        <w:rPr>
          <w:rFonts w:eastAsia="黑体"/>
          <w:bCs/>
          <w:color w:val="auto"/>
          <w:sz w:val="28"/>
          <w:szCs w:val="28"/>
        </w:rPr>
      </w:pPr>
      <w:r>
        <w:rPr>
          <w:rFonts w:eastAsia="黑体"/>
          <w:bCs/>
          <w:color w:val="auto"/>
          <w:sz w:val="28"/>
          <w:szCs w:val="28"/>
        </w:rPr>
        <w:t>八、课程介绍及修读指导建议</w:t>
      </w:r>
    </w:p>
    <w:p>
      <w:pPr>
        <w:spacing w:line="360" w:lineRule="auto"/>
        <w:jc w:val="center"/>
        <w:rPr>
          <w:rFonts w:eastAsia="黑体"/>
          <w:color w:val="auto"/>
          <w:sz w:val="28"/>
          <w:szCs w:val="28"/>
        </w:rPr>
      </w:pPr>
      <w:r>
        <w:rPr>
          <w:rFonts w:eastAsia="黑体"/>
          <w:color w:val="auto"/>
          <w:sz w:val="28"/>
          <w:szCs w:val="28"/>
        </w:rPr>
        <w:t>工程造价专业（3+2）课程介绍及修读指导意见</w:t>
      </w:r>
    </w:p>
    <w:tbl>
      <w:tblPr>
        <w:tblStyle w:val="23"/>
        <w:tblW w:w="141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733"/>
        <w:gridCol w:w="2255"/>
        <w:gridCol w:w="7798"/>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68" w:type="dxa"/>
            <w:gridSpan w:val="2"/>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课程类别</w:t>
            </w:r>
          </w:p>
        </w:tc>
        <w:tc>
          <w:tcPr>
            <w:tcW w:w="2255"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7798"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课程介绍</w:t>
            </w:r>
          </w:p>
        </w:tc>
        <w:tc>
          <w:tcPr>
            <w:tcW w:w="2541"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通识教育课程</w:t>
            </w:r>
          </w:p>
        </w:tc>
        <w:tc>
          <w:tcPr>
            <w:tcW w:w="733"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必修</w:t>
            </w: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1.大学生职业生涯规划</w:t>
            </w:r>
          </w:p>
        </w:tc>
        <w:tc>
          <w:tcPr>
            <w:tcW w:w="7798" w:type="dxa"/>
          </w:tcPr>
          <w:p>
            <w:pPr>
              <w:adjustRightInd w:val="0"/>
              <w:snapToGrid w:val="0"/>
              <w:spacing w:line="240" w:lineRule="exact"/>
              <w:rPr>
                <w:rFonts w:eastAsia="仿宋_GB2312"/>
                <w:bCs/>
                <w:color w:val="auto"/>
                <w:sz w:val="18"/>
                <w:szCs w:val="18"/>
              </w:rPr>
            </w:pPr>
            <w:r>
              <w:rPr>
                <w:rFonts w:eastAsia="仿宋_GB2312"/>
                <w:color w:val="auto"/>
                <w:sz w:val="18"/>
                <w:szCs w:val="18"/>
                <w:shd w:val="clear" w:color="auto" w:fill="FFFFFF"/>
              </w:rPr>
              <w:t>本课程以邓小平理论、“三个代表”重要思想为指导，贯彻落实科学发展观，对学生进行职业生涯教育和职业理想教育。其任务是引导学生树立正确的职业观念和职业理想，学会根据社会需要和自身特点进行职业生涯规划，并以此规范和调整自己的行为，为顺利就业、创业创造条件。培养大学生树立正确的择业观，掌握求职的方法与技巧，增强择业意识，提高主动适应社会需要的能力。</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color w:val="auto"/>
                <w:sz w:val="18"/>
                <w:szCs w:val="18"/>
              </w:rPr>
              <w:t>多参加社会实践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2.创业基础</w:t>
            </w:r>
          </w:p>
        </w:tc>
        <w:tc>
          <w:tcPr>
            <w:tcW w:w="7798" w:type="dxa"/>
          </w:tcPr>
          <w:p>
            <w:pPr>
              <w:adjustRightInd w:val="0"/>
              <w:snapToGrid w:val="0"/>
              <w:spacing w:line="240" w:lineRule="exact"/>
              <w:rPr>
                <w:rFonts w:eastAsia="仿宋_GB2312"/>
                <w:bCs/>
                <w:color w:val="auto"/>
                <w:sz w:val="18"/>
                <w:szCs w:val="18"/>
              </w:rPr>
            </w:pPr>
            <w:r>
              <w:rPr>
                <w:rFonts w:eastAsia="仿宋_GB2312"/>
                <w:color w:val="auto"/>
                <w:sz w:val="18"/>
                <w:szCs w:val="18"/>
              </w:rPr>
              <w:t>“创业基础”目的在于使学生掌握开展创业活动所需要的基本知识；使学生具备必要的创业能力；使学生树立科学的创业观。</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color w:val="auto"/>
                <w:sz w:val="18"/>
                <w:szCs w:val="18"/>
              </w:rPr>
              <w:t>多参加社会调查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color w:val="auto"/>
                <w:sz w:val="18"/>
                <w:szCs w:val="18"/>
              </w:rPr>
              <w:t>3. 军事理论</w:t>
            </w:r>
          </w:p>
        </w:tc>
        <w:tc>
          <w:tcPr>
            <w:tcW w:w="7798"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主要讲述中国的国防建设、军事思想</w:t>
            </w:r>
            <w:r>
              <w:rPr>
                <w:rFonts w:hint="eastAsia" w:eastAsia="仿宋_GB2312"/>
                <w:color w:val="auto"/>
                <w:sz w:val="18"/>
                <w:szCs w:val="18"/>
              </w:rPr>
              <w:t>概述</w:t>
            </w:r>
            <w:r>
              <w:rPr>
                <w:rFonts w:eastAsia="仿宋_GB2312"/>
                <w:color w:val="auto"/>
                <w:sz w:val="18"/>
                <w:szCs w:val="18"/>
              </w:rPr>
              <w:t>、中国国家安全环境、军事高技术等内容，达到增强国防观念和国家安全意识，强化爱国主义、集体主义观念，加强组织纪律性，促进大学生综合素质的提高，为中国人民解放军训练后备兵员利预备役军官打下坚实的基础。</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color w:val="auto"/>
                <w:sz w:val="18"/>
                <w:szCs w:val="18"/>
              </w:rPr>
              <w:t>要整体把握、学会创造性思维、做到融会贯通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选修</w:t>
            </w:r>
          </w:p>
        </w:tc>
        <w:tc>
          <w:tcPr>
            <w:tcW w:w="12594" w:type="dxa"/>
            <w:gridSpan w:val="3"/>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学科（专业）基础课程</w:t>
            </w:r>
          </w:p>
        </w:tc>
        <w:tc>
          <w:tcPr>
            <w:tcW w:w="733"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必修</w:t>
            </w: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1.工程造价专业概论</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了解工程造价的研究对象、工程造价咨询及其发展，熟悉工程造价的相关理论、工程造价的人才培养、工程造价的岗位能力，掌握工程造价的课程体系、工程造价的业务体系、工程造价的学习方法，使学生对本专业有一个全面的认识，</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后续课程：《工程造价管理》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hint="eastAsia" w:eastAsia="仿宋_GB2312"/>
                <w:bCs/>
                <w:color w:val="auto"/>
                <w:sz w:val="18"/>
                <w:szCs w:val="18"/>
                <w:lang w:eastAsia="zh-CN"/>
              </w:rPr>
            </w:pPr>
            <w:r>
              <w:rPr>
                <w:rFonts w:eastAsia="仿宋_GB2312"/>
                <w:bCs/>
                <w:color w:val="auto"/>
                <w:sz w:val="18"/>
                <w:szCs w:val="18"/>
              </w:rPr>
              <w:t>2.</w:t>
            </w:r>
            <w:r>
              <w:rPr>
                <w:rFonts w:hint="eastAsia" w:eastAsia="仿宋_GB2312"/>
                <w:bCs/>
                <w:color w:val="auto"/>
                <w:sz w:val="18"/>
                <w:szCs w:val="18"/>
                <w:lang w:eastAsia="zh-CN"/>
              </w:rPr>
              <w:t>建设法规A</w:t>
            </w:r>
          </w:p>
        </w:tc>
        <w:tc>
          <w:tcPr>
            <w:tcW w:w="7798" w:type="dxa"/>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具备运用法律知识和规范解决工程建设实际问题，并能进行合同管理的能力。通过本课程的学习，达到运用工程有关的法律、法规，及现代国际工程合同法律制度、法律规范和相关国际惯例进行工程建设活动。</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先修课程：无；后续课程：《</w:t>
            </w:r>
            <w:r>
              <w:rPr>
                <w:rFonts w:hint="eastAsia" w:eastAsia="仿宋_GB2312"/>
                <w:bCs/>
                <w:color w:val="auto"/>
                <w:sz w:val="18"/>
                <w:szCs w:val="18"/>
                <w:lang w:eastAsia="zh-CN"/>
              </w:rPr>
              <w:t>工程招投标与合同管理B</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hint="eastAsia" w:eastAsia="仿宋_GB2312"/>
                <w:bCs/>
                <w:color w:val="auto"/>
                <w:sz w:val="18"/>
                <w:szCs w:val="18"/>
                <w:lang w:val="en-US" w:eastAsia="zh-CN"/>
              </w:rPr>
            </w:pPr>
            <w:r>
              <w:rPr>
                <w:rFonts w:eastAsia="仿宋_GB2312"/>
                <w:bCs/>
                <w:color w:val="auto"/>
                <w:sz w:val="18"/>
                <w:szCs w:val="18"/>
              </w:rPr>
              <w:t>3.经济法</w:t>
            </w:r>
            <w:r>
              <w:rPr>
                <w:rFonts w:hint="eastAsia" w:eastAsia="仿宋_GB2312"/>
                <w:bCs/>
                <w:color w:val="auto"/>
                <w:sz w:val="18"/>
                <w:szCs w:val="18"/>
                <w:lang w:val="en-US" w:eastAsia="zh-CN"/>
              </w:rPr>
              <w:t>B</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对本课程的学习，使学生了解经济法的发展概况以及与经济相关的法学基础理论知识，掌握常用的公司、合伙企业、外商投资企业、破产、消费者权益保护、产品质量、反不正当竞争等经济法律法规的主要内容，能够正确地运用所学的法律知识解决生活中遇到的实际问题。</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先修课程：《思想道德修养与法律基础》，后续课程：《</w:t>
            </w:r>
            <w:r>
              <w:rPr>
                <w:rFonts w:hint="eastAsia" w:eastAsia="仿宋_GB2312"/>
                <w:bCs/>
                <w:color w:val="auto"/>
                <w:sz w:val="18"/>
                <w:szCs w:val="18"/>
                <w:lang w:eastAsia="zh-CN"/>
              </w:rPr>
              <w:t>建设法规A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4.运筹学</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掌握线性规划、运输问题、整数规划、目标规划、图论等运筹学模型，掌握各种模型的求解方法，并能领会运筹学在分析与解决实际问题过程中的基本思想和的基本思路。培养学生具有初步运用运筹学思想和方法分析、解决实际问题的能力，培养学生的逻辑思维能力、创新思维与应用能力。</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先修课程：《线性代数》。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专业课程</w:t>
            </w:r>
          </w:p>
        </w:tc>
        <w:tc>
          <w:tcPr>
            <w:tcW w:w="733"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必修</w:t>
            </w: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1.工程经济学</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掌握工程经济分析的理论、经济要素、资金等值计算、投资项目的经济效益评价方法，投资项目决策方法，不确定性分析，投资项目可行性研究，设备更新的技术经济分析，价值工程等知识。具备进行资金等值和评价指标计算、方案优选及编制可行性研究的能力，为考取相关执业资格证书及从事投资经济分析奠定基础。</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先修课程：《会计学》，后续课程：《建设项目融资》、《工程造价案例分析》。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2.</w:t>
            </w:r>
            <w:r>
              <w:rPr>
                <w:rFonts w:hint="eastAsia" w:eastAsia="仿宋_GB2312"/>
                <w:bCs/>
                <w:color w:val="auto"/>
                <w:sz w:val="18"/>
                <w:szCs w:val="18"/>
                <w:lang w:eastAsia="zh-CN"/>
              </w:rPr>
              <w:t>工程招投标与合同管理B</w:t>
            </w:r>
          </w:p>
        </w:tc>
        <w:tc>
          <w:tcPr>
            <w:tcW w:w="7798"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通过本课程的学习，使学生具备编制招标文件或投标文件，并能进行合同管理的能力，达到具有从事工程项目招标、投标、评标，进行合同拟定及管理的水平，能够在施工现场解决工程争议进行索赔。</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后续课程为：《</w:t>
            </w:r>
            <w:r>
              <w:rPr>
                <w:rFonts w:hint="eastAsia" w:eastAsia="仿宋_GB2312"/>
                <w:bCs/>
                <w:color w:val="auto"/>
                <w:sz w:val="18"/>
                <w:szCs w:val="18"/>
                <w:lang w:eastAsia="zh-CN"/>
              </w:rPr>
              <w:t>工程招投标与合同管理B</w:t>
            </w:r>
            <w:r>
              <w:rPr>
                <w:rFonts w:eastAsia="仿宋_GB2312"/>
                <w:bCs/>
                <w:color w:val="auto"/>
                <w:sz w:val="18"/>
                <w:szCs w:val="18"/>
              </w:rPr>
              <w:t>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hint="eastAsia" w:eastAsia="仿宋_GB2312"/>
                <w:bCs/>
                <w:color w:val="auto"/>
                <w:sz w:val="18"/>
                <w:szCs w:val="18"/>
                <w:lang w:eastAsia="zh-CN"/>
              </w:rPr>
            </w:pPr>
            <w:r>
              <w:rPr>
                <w:rFonts w:eastAsia="仿宋_GB2312"/>
                <w:bCs/>
                <w:color w:val="auto"/>
                <w:sz w:val="18"/>
                <w:szCs w:val="18"/>
              </w:rPr>
              <w:t>3.</w:t>
            </w:r>
            <w:r>
              <w:rPr>
                <w:rFonts w:hint="eastAsia" w:eastAsia="仿宋_GB2312"/>
                <w:bCs/>
                <w:color w:val="auto"/>
                <w:sz w:val="18"/>
                <w:szCs w:val="18"/>
                <w:lang w:eastAsia="zh-CN"/>
              </w:rPr>
              <w:t>房地产估价A</w:t>
            </w:r>
          </w:p>
        </w:tc>
        <w:tc>
          <w:tcPr>
            <w:tcW w:w="7798" w:type="dxa"/>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通过本课程的学习，使学生了解房地产评估行业发展的现状，熟悉</w:t>
            </w:r>
            <w:r>
              <w:rPr>
                <w:rFonts w:hint="eastAsia" w:eastAsia="仿宋_GB2312"/>
                <w:bCs/>
                <w:color w:val="auto"/>
                <w:sz w:val="18"/>
                <w:szCs w:val="18"/>
                <w:lang w:eastAsia="zh-CN"/>
              </w:rPr>
              <w:t>房地产估价</w:t>
            </w:r>
            <w:r>
              <w:rPr>
                <w:rFonts w:eastAsia="仿宋_GB2312"/>
                <w:bCs/>
                <w:color w:val="auto"/>
                <w:sz w:val="18"/>
                <w:szCs w:val="18"/>
              </w:rPr>
              <w:t>的程序，掌握从事</w:t>
            </w:r>
            <w:r>
              <w:rPr>
                <w:rFonts w:hint="eastAsia" w:eastAsia="仿宋_GB2312"/>
                <w:bCs/>
                <w:color w:val="auto"/>
                <w:sz w:val="18"/>
                <w:szCs w:val="18"/>
                <w:lang w:eastAsia="zh-CN"/>
              </w:rPr>
              <w:t>房地产估价</w:t>
            </w:r>
            <w:r>
              <w:rPr>
                <w:rFonts w:eastAsia="仿宋_GB2312"/>
                <w:bCs/>
                <w:color w:val="auto"/>
                <w:sz w:val="18"/>
                <w:szCs w:val="18"/>
              </w:rPr>
              <w:t>工作所必备的理论基础和基本知识，掌握并熟练运用</w:t>
            </w:r>
            <w:r>
              <w:rPr>
                <w:rFonts w:hint="eastAsia" w:eastAsia="仿宋_GB2312"/>
                <w:bCs/>
                <w:color w:val="auto"/>
                <w:sz w:val="18"/>
                <w:szCs w:val="18"/>
                <w:lang w:eastAsia="zh-CN"/>
              </w:rPr>
              <w:t>房地产估价</w:t>
            </w:r>
            <w:r>
              <w:rPr>
                <w:rFonts w:eastAsia="仿宋_GB2312"/>
                <w:bCs/>
                <w:color w:val="auto"/>
                <w:sz w:val="18"/>
                <w:szCs w:val="18"/>
              </w:rPr>
              <w:t>中的成本法、市场比较法、收益法等基本估价技术，初步具备从事房地产评估工作的能力。</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先修课程：《工程经济学Ⅰ》、《房地产开发与经营》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4.</w:t>
            </w:r>
            <w:r>
              <w:rPr>
                <w:rFonts w:hint="eastAsia" w:eastAsia="仿宋_GB2312"/>
                <w:bCs/>
                <w:color w:val="auto"/>
                <w:sz w:val="18"/>
                <w:szCs w:val="18"/>
                <w:lang w:eastAsia="zh-CN"/>
              </w:rPr>
              <w:t>工程项目管理B</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通过本课程的学习，使学生掌握</w:t>
            </w:r>
            <w:r>
              <w:rPr>
                <w:rFonts w:hint="eastAsia" w:eastAsia="仿宋_GB2312"/>
                <w:bCs/>
                <w:color w:val="auto"/>
                <w:sz w:val="18"/>
                <w:szCs w:val="18"/>
                <w:lang w:eastAsia="zh-CN"/>
              </w:rPr>
              <w:t>工程项目管理</w:t>
            </w:r>
            <w:r>
              <w:rPr>
                <w:rFonts w:eastAsia="仿宋_GB2312"/>
                <w:bCs/>
                <w:color w:val="auto"/>
                <w:sz w:val="18"/>
                <w:szCs w:val="18"/>
              </w:rPr>
              <w:t>的概念、原理和理论，及工程项目投资、进度和质量控制的基本方法；掌握在</w:t>
            </w:r>
            <w:r>
              <w:rPr>
                <w:rFonts w:hint="eastAsia" w:eastAsia="仿宋_GB2312"/>
                <w:bCs/>
                <w:color w:val="auto"/>
                <w:sz w:val="18"/>
                <w:szCs w:val="18"/>
                <w:lang w:eastAsia="zh-CN"/>
              </w:rPr>
              <w:t>工程项目管理</w:t>
            </w:r>
            <w:r>
              <w:rPr>
                <w:rFonts w:eastAsia="仿宋_GB2312"/>
                <w:bCs/>
                <w:color w:val="auto"/>
                <w:sz w:val="18"/>
                <w:szCs w:val="18"/>
              </w:rPr>
              <w:t>中全方位全过程的科学管理和合理协调的方法，为学生建立管理项目的知识体系和培养应用管理知识解决实际问题的技能，为学生在毕业后从事有关工程建设管理工作奠定坚实的基础。</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先修课程：《管理学原理Ⅰ》、《土木工程施工》。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5.工程造价管理</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通过本课程的学习，使学生掌握建设工程造价全过程管理的基本理论知识，各个阶段进行工程造价确定与控制的基本原理和方法，使学生具备全过程、全方位、动态工程造价管理的能力。</w:t>
            </w:r>
          </w:p>
        </w:tc>
        <w:tc>
          <w:tcPr>
            <w:tcW w:w="2541" w:type="dxa"/>
            <w:vAlign w:val="center"/>
          </w:tcPr>
          <w:p>
            <w:pPr>
              <w:adjustRightInd w:val="0"/>
              <w:snapToGrid w:val="0"/>
              <w:spacing w:line="240" w:lineRule="exact"/>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专业拓展课程</w:t>
            </w:r>
          </w:p>
        </w:tc>
        <w:tc>
          <w:tcPr>
            <w:tcW w:w="733"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选修</w:t>
            </w: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1.物业管理</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通过本课程的学习，使学生能掌握物业及物业管理的基本原理、基本知识和基本运作，初步能用物业管理理论方法分析和解决企业实际问题。</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先修课程：《建筑设备工程》，后续课程：《建筑企业管理》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2.工程财务</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掌握包括工程融资与投资管理、资产管理、工程项目成本管理、工程盈余与分配管理、工程财务风险管理、工程财务分析等知识，具备从事经济管理所必须的财务管理业务知识和工作能力。</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先修课程：《会计学I》，后续课程：《工程造价案例分析》、《工程造价管理》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3.建设项目融资</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了解工程项目融资的组织结构、工程项目融资的投资结构等内容，掌握建设项目的资金成本和资金结构、基本模式，了解工程项目融资的典型模式、工程项目融资的风险等内容。使学生全面地把握建设项目融资方面的专业知识，具备一定的建设项目资金筹措的理论与实务操作能力。</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先修课程：《会计学Ⅰ》、《工程经济学Ⅰ》；后续课程：《工程造价案例分析》、《工程造价管理》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4.工程监理</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了解工程监理的基本概念，监理工程师素质及执业资格制度等内容，熟悉建设工程监理组织，掌握建设工程监理三大目标控制及安全管理、合同管理信息管理组织协调等内容。为学生将来从事工程监理等相关工作奠定基础。</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先修课程《土木工程技术》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5.房地产开发与经营</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了解一些房地产制度及相应的法律法规；理解房地产市场行情、国家政策等；掌握房地产开发项目的策划，房地产开发市场调查，房地产开发投资等；建立房地产管理的知识体系和培养应用管理知识解决实际问题的技能。</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先修课程：《工程经济学》，后续课程：《房地产经纪》、《建筑企业管理》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6.项目风险管理与保险</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学习，使学生掌握工程项目风险的概念、特点和分类，掌握工程项目风险管理的概念和过程，理解工程中常见的保险类型。培养学生具备对工程项目风险进行管理和工程保险的基本能力。培养学生在工程实践中形成风险意识和风险管理的专业素质。</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rPr>
              <w:t>《管理学原理》、</w:t>
            </w:r>
            <w:r>
              <w:rPr>
                <w:rFonts w:eastAsia="仿宋_GB2312"/>
                <w:bCs/>
                <w:color w:val="auto"/>
                <w:sz w:val="18"/>
                <w:szCs w:val="18"/>
              </w:rPr>
              <w:t>《经济法》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7.工程造价案例分析</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掌握决策阶段成本的确定方法，决策树法和技术经济分析方法在投标决策中的运用，工程进度款的计算与支付，工程价款调整方法等内容。使学生能够灵活应用所学知识进行案例分析，具备解决工作实际问题的能力。</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先修课程：《工程经济学Ⅰ》、《</w:t>
            </w:r>
            <w:r>
              <w:rPr>
                <w:rFonts w:hint="eastAsia" w:eastAsia="仿宋_GB2312"/>
                <w:bCs/>
                <w:color w:val="auto"/>
                <w:sz w:val="18"/>
                <w:szCs w:val="18"/>
                <w:lang w:eastAsia="zh-CN"/>
              </w:rPr>
              <w:t>工程招投标与合同管理B</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8.</w:t>
            </w:r>
            <w:r>
              <w:rPr>
                <w:rFonts w:hint="eastAsia" w:eastAsia="仿宋_GB2312"/>
                <w:bCs/>
                <w:color w:val="auto"/>
                <w:sz w:val="18"/>
                <w:szCs w:val="18"/>
                <w:lang w:eastAsia="zh-CN"/>
              </w:rPr>
              <w:t>统计学原理B</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能够了解统计在社会经济分析中的重要作用，掌握描述统计和推断统计的基本内容。能够结合经济运行过程及其特点，运用所学知识对反映经济活动各方面的统计数据进行收集、整理和分析，指导经济活动，提高经济管理水平服务。</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先修课程：《概率论与数理统计》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9.建筑企业管理</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了解建筑企业管理的基本概念、基本原理、性质和任务，掌握建筑企业经营决策、施工技术管理、质量管理的流程，初步具备完成相关分析、策划、实施等相关工作的能力与基本技能，为今后成为适建筑企业管理人才做好知识准备。</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先修课程：《经济学原理I》、《管理学原理》；后续课程：《</w:t>
            </w:r>
            <w:r>
              <w:rPr>
                <w:rFonts w:hint="eastAsia" w:eastAsia="仿宋_GB2312"/>
                <w:bCs/>
                <w:color w:val="auto"/>
                <w:sz w:val="18"/>
                <w:szCs w:val="18"/>
                <w:lang w:eastAsia="zh-CN"/>
              </w:rPr>
              <w:t>工程项目管理B</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10.工程造价专业英语</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掌握工程造价的基本词汇；能够熟练翻译专业论文。使学生掌握工程造价专业英语的阅读和翻译的方法，提高学生学习、阅读与笔译本专业英语书刊、文献、资料的能力，具备工程项目专业英语理解、表达和沟通的能力。</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先修课程：《大学英语》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11.建设工程项目审计</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具备工程项目审计（前期审计、概算审计、财务审计、招投标与合同审计、施工阶段审计、竣工决策审计、投资效益审计和工程项目后评审）的能力，为将来从事工程项目设计工作奠定一定的基础。</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先修课程：《建设项目融资》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12.建设项目评估</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学习，使学生掌握投资项目的可行性研究、市场调查与预测、项目生产条件评价、项目财务状况分析与评价、项目国民经济评价以及项目的不确定性分析等基本理论和评估方法。培养学生具备投资项目可行性研究和投资项目经济评估并选择最佳投资方案的综合能力。</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先修课程：《工程经济学》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13.工程项目成本规划与控制</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掌握工程项目投资决策阶段的成本规划与控制、工程项目设计阶段、工程项目招投标阶段、工程项目施工阶段的成本规划与控制，熟悉工程项目竣工决算、工程项目成本风险分析与管理以及工程项目成本管理信息系统，了解工程项目投资组成、工程定额体系和工程量清单，具备全寿命周期成本管理的能力。</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先修课程：《工程经济学》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14.房地产市场营销</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学习，使学生了解房地产项目营销的理论和实践，掌握房地产项目营销的程序和内容，为培养从事房地产项目营销的高级人才打好理论基础。提高学生理论运用、综合分析和创新等能力，初步学会用有关的方法进行房地产项目的营销。</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先修课程：《房地产</w:t>
            </w:r>
            <w:r>
              <w:rPr>
                <w:rFonts w:hint="eastAsia" w:eastAsia="仿宋_GB2312"/>
                <w:bCs/>
                <w:color w:val="auto"/>
                <w:sz w:val="18"/>
                <w:szCs w:val="18"/>
              </w:rPr>
              <w:t>开发与经营</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15.房地产经济学</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具备运用房地产市场运行中的基本经济理论，分析和认识房地产业与房地产市场发展中的现象和问题，提高对房地产市场进行分析预测的能力，为将来从事房地产相关工作奠定一定的基础。</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先修课程：《房地产经营与管理》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16. 国际工程管理（双语）</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通过本课程学习，使学生了解国际工程管理的概况以及我国工程管理与国外工程管理的差别；掌握国际工程管理的基本知识、理论和词汇。培养学生拥有熟练的专业文件翻译能力和沟通表达能力。</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工程项目管理B</w:t>
            </w:r>
            <w:r>
              <w:rPr>
                <w:rFonts w:eastAsia="仿宋_GB2312"/>
                <w:bCs/>
                <w:color w:val="auto"/>
                <w:sz w:val="18"/>
                <w:szCs w:val="18"/>
              </w:rPr>
              <w:t>》、《工程经济学》。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kern w:val="0"/>
                <w:sz w:val="18"/>
                <w:szCs w:val="18"/>
              </w:rPr>
              <w:t>17.项目评估与可行性研究研究</w:t>
            </w:r>
          </w:p>
        </w:tc>
        <w:tc>
          <w:tcPr>
            <w:tcW w:w="7798" w:type="dxa"/>
          </w:tcPr>
          <w:p>
            <w:pPr>
              <w:adjustRightInd w:val="0"/>
              <w:snapToGrid w:val="0"/>
              <w:spacing w:line="240" w:lineRule="exact"/>
              <w:rPr>
                <w:rFonts w:eastAsia="仿宋_GB2312"/>
                <w:bCs/>
                <w:color w:val="auto"/>
                <w:sz w:val="18"/>
                <w:szCs w:val="18"/>
              </w:rPr>
            </w:pPr>
            <w:r>
              <w:rPr>
                <w:rFonts w:eastAsia="仿宋_GB2312"/>
                <w:bCs/>
                <w:color w:val="auto"/>
                <w:kern w:val="0"/>
                <w:sz w:val="18"/>
                <w:szCs w:val="18"/>
              </w:rPr>
              <w:t>通过本课程的学习，要求学生了解评估与可研的作用，掌握建设项目评估的基本概念、基本原理和基本理论等；理解项目评估涉及到的各种定性、定量方法；掌握可行性研究不同阶段的工作内容及精度要求；理解不同阶段评估的主要工作内容及方法；建立项目评估的知识体系和培养应用管理知识解决实际问题的技能。</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kern w:val="0"/>
                <w:sz w:val="18"/>
                <w:szCs w:val="18"/>
              </w:rPr>
              <w:t>先修课程：《工程经济学》、《建设项目融资》、后续课程：无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18.学科前沿与专题知识讲座</w:t>
            </w:r>
            <w:r>
              <w:rPr>
                <w:rFonts w:hint="eastAsia" w:eastAsia="仿宋_GB2312"/>
                <w:color w:val="auto"/>
                <w:sz w:val="18"/>
                <w:szCs w:val="18"/>
              </w:rPr>
              <w:t>（含实验室安全教育）</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通过本课程的学习，使学生掌握本学科前沿知识，了解本学科的发展方向，熟悉本学科的特点，具备积极探索、学习前沿知识及新兴技术的能力。</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先修课程：无，后续课程：后续的相关专业课程。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kern w:val="0"/>
                <w:sz w:val="18"/>
                <w:szCs w:val="18"/>
              </w:rPr>
            </w:pPr>
            <w:r>
              <w:rPr>
                <w:rFonts w:eastAsia="仿宋_GB2312"/>
                <w:bCs/>
                <w:color w:val="auto"/>
                <w:sz w:val="18"/>
                <w:szCs w:val="18"/>
              </w:rPr>
              <w:t>19.城市规划</w:t>
            </w:r>
          </w:p>
        </w:tc>
        <w:tc>
          <w:tcPr>
            <w:tcW w:w="7798" w:type="dxa"/>
            <w:vAlign w:val="center"/>
          </w:tcPr>
          <w:p>
            <w:pPr>
              <w:adjustRightInd w:val="0"/>
              <w:snapToGrid w:val="0"/>
              <w:spacing w:line="240" w:lineRule="exact"/>
              <w:rPr>
                <w:rFonts w:eastAsia="仿宋_GB2312"/>
                <w:bCs/>
                <w:color w:val="auto"/>
                <w:kern w:val="0"/>
                <w:sz w:val="18"/>
                <w:szCs w:val="18"/>
              </w:rPr>
            </w:pPr>
            <w:r>
              <w:rPr>
                <w:rFonts w:eastAsia="仿宋_GB2312"/>
                <w:bCs/>
                <w:color w:val="auto"/>
                <w:sz w:val="18"/>
                <w:szCs w:val="18"/>
              </w:rPr>
              <w:t>通过本课程的学习，使学生具备城市、城镇和居住小区规划的基本知识，具备分析与解决城市、城镇和居住小区规划相关问题的基本思路和进行居住小区规划的基本能力。</w:t>
            </w:r>
          </w:p>
        </w:tc>
        <w:tc>
          <w:tcPr>
            <w:tcW w:w="2541" w:type="dxa"/>
            <w:vAlign w:val="center"/>
          </w:tcPr>
          <w:p>
            <w:pPr>
              <w:adjustRightInd w:val="0"/>
              <w:snapToGrid w:val="0"/>
              <w:spacing w:line="240" w:lineRule="exact"/>
              <w:rPr>
                <w:rFonts w:eastAsia="仿宋_GB2312"/>
                <w:bCs/>
                <w:color w:val="auto"/>
                <w:kern w:val="0"/>
                <w:sz w:val="18"/>
                <w:szCs w:val="18"/>
              </w:rPr>
            </w:pPr>
            <w:r>
              <w:rPr>
                <w:rFonts w:eastAsia="仿宋_GB2312"/>
                <w:bCs/>
                <w:color w:val="auto"/>
                <w:sz w:val="18"/>
                <w:szCs w:val="18"/>
              </w:rPr>
              <w:t>先修课程：《工程制图与识图》，后学课程：《</w:t>
            </w:r>
            <w:r>
              <w:rPr>
                <w:rFonts w:hint="eastAsia" w:eastAsia="仿宋_GB2312"/>
                <w:bCs/>
                <w:color w:val="auto"/>
                <w:sz w:val="18"/>
                <w:szCs w:val="18"/>
                <w:lang w:eastAsia="zh-CN"/>
              </w:rPr>
              <w:t>房地产估价A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kern w:val="0"/>
                <w:sz w:val="18"/>
                <w:szCs w:val="18"/>
              </w:rPr>
              <w:t>20. 装配式建筑概论</w:t>
            </w:r>
          </w:p>
        </w:tc>
        <w:tc>
          <w:tcPr>
            <w:tcW w:w="7798" w:type="dxa"/>
          </w:tcPr>
          <w:p>
            <w:pPr>
              <w:adjustRightInd w:val="0"/>
              <w:snapToGrid w:val="0"/>
              <w:spacing w:line="240" w:lineRule="exact"/>
              <w:rPr>
                <w:rFonts w:eastAsia="仿宋_GB2312"/>
                <w:bCs/>
                <w:color w:val="auto"/>
                <w:sz w:val="18"/>
                <w:szCs w:val="18"/>
              </w:rPr>
            </w:pPr>
            <w:r>
              <w:rPr>
                <w:rFonts w:eastAsia="仿宋_GB2312"/>
                <w:bCs/>
                <w:color w:val="auto"/>
                <w:kern w:val="0"/>
                <w:sz w:val="18"/>
                <w:szCs w:val="18"/>
              </w:rPr>
              <w:t>通过该课程的学习，使学生对装配式建筑的基本概念和装配式混凝土结构、钢结构、木结构、组合结构、外围护系统、集成与协同、装配式建筑管理、BIM与装配式建筑的系统知识与经验有初步的认识。</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kern w:val="0"/>
                <w:sz w:val="18"/>
                <w:szCs w:val="18"/>
              </w:rPr>
              <w:t>先修课程：《工程制图与识图》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21.绿色生态建筑材料研发与应用</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本课程通过理论和实验相结合的方式，介绍建筑垃圾、农业固体废弃物等的资源化利用技术和装备研发应用，同时学习再生砂浆、再生混凝土等绿色与生态建筑材料制备与应用的相关知识和技术。提高学生利用可再生资源的意识和能力。</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先修课程：《土木工程材料》等；后续课程：《混凝土结构设计Ⅰ》等。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22.建筑设备安装工程施工技术</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通过本课程的学习，使学生掌握利用施工组织的科学原理解决实际问题；对各种实际安装问题能以科学的态度探寻解决问题的道路的素养；具有良好的创新精神和实践精神。合理地提出新思想、新方法的素养。</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先修课程：《建筑设备工程》，后续课程：《安装工程计量与计价Ⅱ》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hint="eastAsia" w:eastAsia="仿宋_GB2312"/>
                <w:bCs/>
                <w:color w:val="auto"/>
                <w:sz w:val="18"/>
                <w:szCs w:val="18"/>
                <w:lang w:eastAsia="zh-CN"/>
              </w:rPr>
            </w:pPr>
            <w:r>
              <w:rPr>
                <w:rFonts w:eastAsia="仿宋_GB2312"/>
                <w:bCs/>
                <w:color w:val="auto"/>
                <w:sz w:val="18"/>
                <w:szCs w:val="18"/>
              </w:rPr>
              <w:t>23.</w:t>
            </w:r>
            <w:r>
              <w:rPr>
                <w:rFonts w:hint="eastAsia" w:eastAsia="仿宋_GB2312"/>
                <w:bCs/>
                <w:color w:val="auto"/>
                <w:sz w:val="18"/>
                <w:szCs w:val="18"/>
                <w:lang w:eastAsia="zh-CN"/>
              </w:rPr>
              <w:t>项目管理软件应用B</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的学习，使学生能够掌握项目管理的基本知识、项目的组织、项目的优化、项目的跟踪、项目进度报表以及多重项目管理等内容，学生在学习了这门课程后能够独立地应用项目管理软件进行工程项目的管理、控制及优化，为实际的工程管理领域生产服务。</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工程项目管理B</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hint="eastAsia" w:eastAsia="仿宋_GB2312"/>
                <w:bCs/>
                <w:color w:val="auto"/>
                <w:sz w:val="18"/>
                <w:szCs w:val="18"/>
                <w:lang w:val="en-US" w:eastAsia="zh-CN"/>
              </w:rPr>
            </w:pPr>
            <w:r>
              <w:rPr>
                <w:rFonts w:eastAsia="仿宋_GB2312"/>
                <w:bCs/>
                <w:color w:val="auto"/>
                <w:sz w:val="18"/>
                <w:szCs w:val="18"/>
              </w:rPr>
              <w:t>24.Python语言程序设计</w:t>
            </w:r>
            <w:r>
              <w:rPr>
                <w:rFonts w:hint="eastAsia" w:eastAsia="仿宋_GB2312"/>
                <w:bCs/>
                <w:color w:val="auto"/>
                <w:sz w:val="18"/>
                <w:szCs w:val="18"/>
                <w:lang w:val="en-US" w:eastAsia="zh-CN"/>
              </w:rPr>
              <w:t>B</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学习，使学生掌握程序设计的基本概念和方法；掌握Python语言程序设计的语法基础、基本结构语句、数组、指针、函数、输入输出函数等的理论知识。培养学生的逻辑思维、算法分析及操作计算机的能力。培养学生应用信息技术分析问题及解决问题的观念及方法。</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先修课程：无，后续课程：无。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25.文献检索</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该课程的学习，使学生掌握信息检索的基本原理和检索技术；能够根据检索课题选择适当的检索系统，应用检索技术从检索系统中熟练查找图书、期刊、学位论文、会议论文、专利、标准六大常用文献，具备初步的科学研究方法与研究论文的写作能力等。</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为后续设计奠定基础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1.入学教育、军训（含军事技能）</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以国防教育为主线，通过军事训练，使大学生增强体质，增强国防观念和国家安全意识，强化爱国主义、集体主义观念，加强组织纪律性。</w:t>
            </w:r>
          </w:p>
        </w:tc>
        <w:tc>
          <w:tcPr>
            <w:tcW w:w="2541" w:type="dxa"/>
            <w:vAlign w:val="center"/>
          </w:tcPr>
          <w:p>
            <w:pPr>
              <w:adjustRightInd w:val="0"/>
              <w:snapToGrid w:val="0"/>
              <w:spacing w:line="240" w:lineRule="exact"/>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实习实践课程</w:t>
            </w:r>
          </w:p>
        </w:tc>
        <w:tc>
          <w:tcPr>
            <w:tcW w:w="733"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必修</w:t>
            </w: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2.毕业教育</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通过对毕业生进行比较全面的择业指导，教育毕业生进一步树立良好的人生观、价值观、择业观</w:t>
            </w:r>
            <w:r>
              <w:rPr>
                <w:rFonts w:hint="eastAsia" w:eastAsia="仿宋_GB2312"/>
                <w:bCs/>
                <w:color w:val="auto"/>
                <w:sz w:val="18"/>
                <w:szCs w:val="18"/>
              </w:rPr>
              <w:t>，</w:t>
            </w:r>
          </w:p>
          <w:p>
            <w:pPr>
              <w:adjustRightInd w:val="0"/>
              <w:snapToGrid w:val="0"/>
              <w:spacing w:line="240" w:lineRule="exact"/>
              <w:rPr>
                <w:rFonts w:eastAsia="仿宋_GB2312"/>
                <w:bCs/>
                <w:color w:val="auto"/>
                <w:sz w:val="18"/>
                <w:szCs w:val="18"/>
              </w:rPr>
            </w:pPr>
            <w:r>
              <w:rPr>
                <w:rFonts w:eastAsia="仿宋_GB2312"/>
                <w:bCs/>
                <w:color w:val="auto"/>
                <w:sz w:val="18"/>
                <w:szCs w:val="18"/>
              </w:rPr>
              <w:t>培养良好的职业道德。</w:t>
            </w:r>
          </w:p>
        </w:tc>
        <w:tc>
          <w:tcPr>
            <w:tcW w:w="2541" w:type="dxa"/>
            <w:vAlign w:val="center"/>
          </w:tcPr>
          <w:p>
            <w:pPr>
              <w:adjustRightInd w:val="0"/>
              <w:snapToGrid w:val="0"/>
              <w:spacing w:line="240" w:lineRule="exact"/>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vAlign w:val="center"/>
          </w:tcPr>
          <w:p>
            <w:pPr>
              <w:adjustRightInd w:val="0"/>
              <w:snapToGrid w:val="0"/>
              <w:spacing w:line="240" w:lineRule="exact"/>
              <w:jc w:val="center"/>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3.第二课堂实践</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color w:val="auto"/>
                <w:sz w:val="18"/>
                <w:szCs w:val="18"/>
              </w:rPr>
              <w:t>学生在校期间通过参加与第一课堂密切相关、与专业教学相互融合的第二课堂活动（科技活动、社会实践、学科竞赛、实验室开放项目、创业训练及实践等），培养学生社会责任感、创新精神、创业意识和社会适应能力，并获得成绩。</w:t>
            </w:r>
          </w:p>
        </w:tc>
        <w:tc>
          <w:tcPr>
            <w:tcW w:w="2541" w:type="dxa"/>
            <w:vAlign w:val="center"/>
          </w:tcPr>
          <w:p>
            <w:pPr>
              <w:adjustRightInd w:val="0"/>
              <w:snapToGrid w:val="0"/>
              <w:spacing w:line="240" w:lineRule="exact"/>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tcPr>
          <w:p>
            <w:pPr>
              <w:adjustRightInd w:val="0"/>
              <w:snapToGrid w:val="0"/>
              <w:spacing w:line="240" w:lineRule="exact"/>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4.《创业基础》实践</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color w:val="auto"/>
                <w:kern w:val="0"/>
                <w:sz w:val="18"/>
                <w:szCs w:val="18"/>
              </w:rPr>
              <w:t>通过课程实践教学，使学生具备必要的创业能力，掌握创业资源整合与创业计划撰写的方法,熟悉新企业的开办流程与管理。使学生树立科学的创业观，主动适应国家经济社会发展和人的全面发展需求，正确理解创业与职业生涯发展的关系，自觉遵循创业规律，积极投身创业实践。</w:t>
            </w:r>
          </w:p>
        </w:tc>
        <w:tc>
          <w:tcPr>
            <w:tcW w:w="2541" w:type="dxa"/>
            <w:vAlign w:val="center"/>
          </w:tcPr>
          <w:p>
            <w:pPr>
              <w:adjustRightInd w:val="0"/>
              <w:snapToGrid w:val="0"/>
              <w:spacing w:line="240" w:lineRule="exact"/>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tcPr>
          <w:p>
            <w:pPr>
              <w:adjustRightInd w:val="0"/>
              <w:snapToGrid w:val="0"/>
              <w:spacing w:line="240" w:lineRule="exact"/>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5.工程经济学课程设计</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设计，主要让学生学习财务评价报表的编制、财务评价指标的选择计算、盈亏平衡分析、敏感性分析等方面的知识；让学生具备编制财务评价报表的能力，具备借助于所学专业知识进行评价指标的计算，并根据评价指标进行项目选择的能力，具备独立进行不确定性分析的能力。</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先修课程：《工程经济学》</w:t>
            </w:r>
          </w:p>
          <w:p>
            <w:pPr>
              <w:adjustRightInd w:val="0"/>
              <w:snapToGrid w:val="0"/>
              <w:spacing w:line="240" w:lineRule="exact"/>
              <w:rPr>
                <w:rFonts w:eastAsia="仿宋_GB2312"/>
                <w:bCs/>
                <w:color w:val="auto"/>
                <w:sz w:val="18"/>
                <w:szCs w:val="18"/>
              </w:rPr>
            </w:pPr>
            <w:r>
              <w:rPr>
                <w:rFonts w:eastAsia="仿宋_GB2312"/>
                <w:bCs/>
                <w:color w:val="auto"/>
                <w:sz w:val="18"/>
                <w:szCs w:val="18"/>
              </w:rPr>
              <w:t>后续课程：毕业设计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tcPr>
          <w:p>
            <w:pPr>
              <w:adjustRightInd w:val="0"/>
              <w:snapToGrid w:val="0"/>
              <w:spacing w:line="240" w:lineRule="exact"/>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6.</w:t>
            </w:r>
            <w:r>
              <w:rPr>
                <w:rFonts w:hint="eastAsia" w:eastAsia="仿宋_GB2312"/>
                <w:bCs/>
                <w:color w:val="auto"/>
                <w:sz w:val="18"/>
                <w:szCs w:val="18"/>
                <w:lang w:eastAsia="zh-CN"/>
              </w:rPr>
              <w:t>工程招投标与合同管理B</w:t>
            </w:r>
            <w:r>
              <w:rPr>
                <w:rFonts w:eastAsia="仿宋_GB2312"/>
                <w:bCs/>
                <w:color w:val="auto"/>
                <w:sz w:val="18"/>
                <w:szCs w:val="18"/>
              </w:rPr>
              <w:t>课程设计</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本课程设计，使学生对工程招标投标的过程有较全面的认识，能够比较完整的编制工程招标文件和投标文件，目的是使学生能够将理论与实践学习相结合，增强学生对工程招标投标工作的实际操作能力，为今后的实际工作打下良好的基础。</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工程招投标与合同管理B</w:t>
            </w:r>
            <w:r>
              <w:rPr>
                <w:rFonts w:eastAsia="仿宋_GB2312"/>
                <w:bCs/>
                <w:color w:val="auto"/>
                <w:sz w:val="18"/>
                <w:szCs w:val="18"/>
              </w:rPr>
              <w:t>》，后续课程</w:t>
            </w:r>
            <w:r>
              <w:rPr>
                <w:rFonts w:hint="eastAsia" w:eastAsia="仿宋_GB2312"/>
                <w:bCs/>
                <w:color w:val="auto"/>
                <w:sz w:val="18"/>
                <w:szCs w:val="18"/>
              </w:rPr>
              <w:t>：</w:t>
            </w:r>
            <w:r>
              <w:rPr>
                <w:rFonts w:eastAsia="仿宋_GB2312"/>
                <w:bCs/>
                <w:color w:val="auto"/>
                <w:sz w:val="18"/>
                <w:szCs w:val="18"/>
              </w:rPr>
              <w:t>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tcPr>
          <w:p>
            <w:pPr>
              <w:adjustRightInd w:val="0"/>
              <w:snapToGrid w:val="0"/>
              <w:spacing w:line="240" w:lineRule="exact"/>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7.</w:t>
            </w:r>
            <w:r>
              <w:rPr>
                <w:rFonts w:hint="eastAsia" w:eastAsia="仿宋_GB2312"/>
                <w:bCs/>
                <w:color w:val="auto"/>
                <w:sz w:val="18"/>
                <w:szCs w:val="18"/>
                <w:lang w:eastAsia="zh-CN"/>
              </w:rPr>
              <w:t>工程项目管理B</w:t>
            </w:r>
            <w:r>
              <w:rPr>
                <w:rFonts w:eastAsia="仿宋_GB2312"/>
                <w:bCs/>
                <w:color w:val="auto"/>
                <w:sz w:val="18"/>
                <w:szCs w:val="18"/>
              </w:rPr>
              <w:t>课程设计</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本课程设计内容为完成</w:t>
            </w:r>
            <w:r>
              <w:rPr>
                <w:rFonts w:hint="eastAsia" w:eastAsia="仿宋_GB2312"/>
                <w:bCs/>
                <w:color w:val="auto"/>
                <w:sz w:val="18"/>
                <w:szCs w:val="18"/>
                <w:lang w:eastAsia="zh-CN"/>
              </w:rPr>
              <w:t>工程项目管理</w:t>
            </w:r>
            <w:r>
              <w:rPr>
                <w:rFonts w:eastAsia="仿宋_GB2312"/>
                <w:bCs/>
                <w:color w:val="auto"/>
                <w:sz w:val="18"/>
                <w:szCs w:val="18"/>
              </w:rPr>
              <w:t>规划的编制，通过该课程设计了解社会调查，搜集资料的方法；理解施工阶段工程正式开工之前施工项目管理实施规划编写的过程和内容；掌握</w:t>
            </w:r>
            <w:r>
              <w:rPr>
                <w:rFonts w:hint="eastAsia" w:eastAsia="仿宋_GB2312"/>
                <w:bCs/>
                <w:color w:val="auto"/>
                <w:sz w:val="18"/>
                <w:szCs w:val="18"/>
                <w:lang w:eastAsia="zh-CN"/>
              </w:rPr>
              <w:t>工程项目管理</w:t>
            </w:r>
            <w:r>
              <w:rPr>
                <w:rFonts w:eastAsia="仿宋_GB2312"/>
                <w:bCs/>
                <w:color w:val="auto"/>
                <w:sz w:val="18"/>
                <w:szCs w:val="18"/>
              </w:rPr>
              <w:t>规划文件的编制方法。</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工程项目管理B</w:t>
            </w:r>
            <w:r>
              <w:rPr>
                <w:rFonts w:eastAsia="仿宋_GB2312"/>
                <w:bCs/>
                <w:color w:val="auto"/>
                <w:sz w:val="18"/>
                <w:szCs w:val="18"/>
              </w:rPr>
              <w:t>》，后续课程：毕业设计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tcPr>
          <w:p>
            <w:pPr>
              <w:adjustRightInd w:val="0"/>
              <w:snapToGrid w:val="0"/>
              <w:spacing w:line="240" w:lineRule="exact"/>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8.大学生就业指导</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color w:val="auto"/>
                <w:kern w:val="0"/>
                <w:sz w:val="18"/>
                <w:szCs w:val="18"/>
              </w:rPr>
              <w:t>大学生就业指导也可称为“求职择业指导”、“职业指导”，它是一门政策性、理论性、实践性和时效性都很强的课程。课程由理论和实践课程两部分组成。本课程采用课堂讲授、小组讨论、案例分析、互动游戏、素质拓展等多元化的开放式教学模式，使同学们在活泼生动的教学环境中获得知识和启发。</w:t>
            </w:r>
          </w:p>
        </w:tc>
        <w:tc>
          <w:tcPr>
            <w:tcW w:w="2541" w:type="dxa"/>
            <w:vAlign w:val="center"/>
          </w:tcPr>
          <w:p>
            <w:pPr>
              <w:adjustRightInd w:val="0"/>
              <w:snapToGrid w:val="0"/>
              <w:spacing w:line="240" w:lineRule="exact"/>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tcPr>
          <w:p>
            <w:pPr>
              <w:adjustRightInd w:val="0"/>
              <w:snapToGrid w:val="0"/>
              <w:spacing w:line="240" w:lineRule="exact"/>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9.工程造价管理业务实践</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该实践，了解工地现场的相关知识，分部分项工程施工技术，项目管理的知识。理解定额计价模式下工程量计算方法，建筑面积的计算方法。掌握清单计价模式下工程量计算规则，费用构成及掌握计价软件的应用。通过《工程造价专业综合实习》，使学生在实践中发现不足，不断增强新知识和新技能；培养学生的创新素质及执业素质。</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先修课程：《安装工程计量与计价Ⅱ》、《土木工程施工》</w:t>
            </w:r>
          </w:p>
          <w:p>
            <w:pPr>
              <w:adjustRightInd w:val="0"/>
              <w:snapToGrid w:val="0"/>
              <w:spacing w:line="240" w:lineRule="exact"/>
              <w:rPr>
                <w:rFonts w:eastAsia="仿宋_GB2312"/>
                <w:bCs/>
                <w:color w:val="auto"/>
                <w:sz w:val="18"/>
                <w:szCs w:val="18"/>
              </w:rPr>
            </w:pPr>
            <w:r>
              <w:rPr>
                <w:rFonts w:eastAsia="仿宋_GB2312"/>
                <w:bCs/>
                <w:color w:val="auto"/>
                <w:sz w:val="18"/>
                <w:szCs w:val="18"/>
              </w:rPr>
              <w:t>后续课程：无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5" w:type="dxa"/>
            <w:vMerge w:val="continue"/>
            <w:vAlign w:val="center"/>
          </w:tcPr>
          <w:p>
            <w:pPr>
              <w:adjustRightInd w:val="0"/>
              <w:snapToGrid w:val="0"/>
              <w:spacing w:line="240" w:lineRule="exact"/>
              <w:jc w:val="center"/>
              <w:rPr>
                <w:rFonts w:eastAsia="仿宋_GB2312"/>
                <w:b/>
                <w:color w:val="auto"/>
                <w:sz w:val="18"/>
                <w:szCs w:val="18"/>
              </w:rPr>
            </w:pPr>
          </w:p>
        </w:tc>
        <w:tc>
          <w:tcPr>
            <w:tcW w:w="733" w:type="dxa"/>
            <w:vMerge w:val="continue"/>
          </w:tcPr>
          <w:p>
            <w:pPr>
              <w:adjustRightInd w:val="0"/>
              <w:snapToGrid w:val="0"/>
              <w:spacing w:line="240" w:lineRule="exact"/>
              <w:rPr>
                <w:rFonts w:eastAsia="仿宋_GB2312"/>
                <w:b/>
                <w:color w:val="auto"/>
                <w:sz w:val="18"/>
                <w:szCs w:val="18"/>
              </w:rPr>
            </w:pPr>
          </w:p>
        </w:tc>
        <w:tc>
          <w:tcPr>
            <w:tcW w:w="2255"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10.工程造价专业（3+2）毕业论文（设计）</w:t>
            </w:r>
          </w:p>
        </w:tc>
        <w:tc>
          <w:tcPr>
            <w:tcW w:w="7798"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毕业设计，学生在实习实践的过程中，学习和理解所学的各科知识，培养学生综合运用理论知识和专业技能的能力，学会分析和解决在工程招标投标、施工组织与管理和建设工程概算、预算和决算中的实际问题，并熟悉其工作程序和方法；为今后走上工作岗位打下扎实的基础。</w:t>
            </w:r>
          </w:p>
        </w:tc>
        <w:tc>
          <w:tcPr>
            <w:tcW w:w="25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先修课程：工程造价专业相关课程，后续课程：无</w:t>
            </w:r>
          </w:p>
        </w:tc>
      </w:tr>
    </w:tbl>
    <w:p>
      <w:pPr>
        <w:widowControl/>
        <w:spacing w:line="460" w:lineRule="exact"/>
        <w:ind w:firstLine="210" w:firstLineChars="100"/>
        <w:rPr>
          <w:rFonts w:eastAsiaTheme="minorEastAsia"/>
          <w:color w:val="auto"/>
          <w:kern w:val="0"/>
        </w:rPr>
        <w:sectPr>
          <w:pgSz w:w="16838" w:h="11906" w:orient="landscape"/>
          <w:pgMar w:top="1531" w:right="1361" w:bottom="1021" w:left="1531" w:header="851" w:footer="1531" w:gutter="0"/>
          <w:cols w:space="0" w:num="1"/>
          <w:docGrid w:linePitch="312" w:charSpace="0"/>
        </w:sectPr>
      </w:pPr>
    </w:p>
    <w:p>
      <w:pPr>
        <w:widowControl/>
        <w:spacing w:line="460" w:lineRule="exact"/>
        <w:ind w:firstLine="210" w:firstLineChars="100"/>
        <w:rPr>
          <w:rFonts w:eastAsiaTheme="minorEastAsia"/>
          <w:color w:val="auto"/>
          <w:kern w:val="0"/>
        </w:rPr>
      </w:pPr>
    </w:p>
    <w:p>
      <w:pPr>
        <w:widowControl/>
        <w:spacing w:line="460" w:lineRule="exact"/>
        <w:ind w:firstLine="210" w:firstLineChars="100"/>
        <w:rPr>
          <w:rFonts w:eastAsiaTheme="minorEastAsia"/>
          <w:color w:val="auto"/>
          <w:kern w:val="0"/>
        </w:rPr>
      </w:pPr>
    </w:p>
    <w:p>
      <w:pPr>
        <w:widowControl/>
        <w:spacing w:line="460" w:lineRule="exact"/>
        <w:ind w:firstLine="210" w:firstLineChars="100"/>
        <w:rPr>
          <w:rFonts w:eastAsiaTheme="minorEastAsia"/>
          <w:color w:val="auto"/>
          <w:kern w:val="0"/>
        </w:rPr>
      </w:pPr>
    </w:p>
    <w:p>
      <w:pPr>
        <w:widowControl/>
        <w:spacing w:line="460" w:lineRule="exact"/>
        <w:rPr>
          <w:rFonts w:eastAsiaTheme="minorEastAsia"/>
          <w:b/>
          <w:bCs/>
          <w:color w:val="auto"/>
          <w:kern w:val="0"/>
          <w:sz w:val="30"/>
          <w:szCs w:val="30"/>
        </w:rPr>
      </w:pPr>
      <w:r>
        <w:rPr>
          <w:rFonts w:eastAsiaTheme="minorEastAsia"/>
          <w:b/>
          <w:bCs/>
          <w:color w:val="auto"/>
          <w:kern w:val="0"/>
          <w:sz w:val="30"/>
          <w:szCs w:val="30"/>
        </w:rPr>
        <w:t>撰写人签字：</w:t>
      </w:r>
    </w:p>
    <w:p>
      <w:pPr>
        <w:widowControl/>
        <w:spacing w:line="460" w:lineRule="exact"/>
        <w:ind w:firstLine="301" w:firstLineChars="100"/>
        <w:rPr>
          <w:rFonts w:eastAsiaTheme="minorEastAsia"/>
          <w:b/>
          <w:bCs/>
          <w:color w:val="auto"/>
          <w:kern w:val="0"/>
          <w:sz w:val="30"/>
          <w:szCs w:val="30"/>
        </w:rPr>
      </w:pPr>
    </w:p>
    <w:p>
      <w:pPr>
        <w:widowControl/>
        <w:spacing w:line="460" w:lineRule="exact"/>
        <w:ind w:firstLine="301" w:firstLineChars="100"/>
        <w:rPr>
          <w:rFonts w:eastAsiaTheme="minorEastAsia"/>
          <w:b/>
          <w:bCs/>
          <w:color w:val="auto"/>
          <w:kern w:val="0"/>
          <w:sz w:val="30"/>
          <w:szCs w:val="30"/>
        </w:rPr>
      </w:pPr>
    </w:p>
    <w:p>
      <w:pPr>
        <w:widowControl/>
        <w:spacing w:line="460" w:lineRule="exact"/>
        <w:ind w:firstLine="301" w:firstLineChars="100"/>
        <w:rPr>
          <w:rFonts w:eastAsiaTheme="minorEastAsia"/>
          <w:b/>
          <w:bCs/>
          <w:color w:val="auto"/>
          <w:kern w:val="0"/>
          <w:sz w:val="30"/>
          <w:szCs w:val="30"/>
        </w:rPr>
      </w:pPr>
    </w:p>
    <w:p>
      <w:pPr>
        <w:widowControl/>
        <w:spacing w:line="460" w:lineRule="exact"/>
        <w:rPr>
          <w:rFonts w:eastAsiaTheme="minorEastAsia"/>
          <w:b/>
          <w:bCs/>
          <w:color w:val="auto"/>
          <w:kern w:val="0"/>
          <w:sz w:val="30"/>
          <w:szCs w:val="30"/>
        </w:rPr>
      </w:pPr>
      <w:r>
        <w:rPr>
          <w:rFonts w:eastAsiaTheme="minorEastAsia"/>
          <w:b/>
          <w:bCs/>
          <w:color w:val="auto"/>
          <w:kern w:val="0"/>
          <w:sz w:val="30"/>
          <w:szCs w:val="30"/>
        </w:rPr>
        <w:t>教学院长签字：</w:t>
      </w:r>
    </w:p>
    <w:p>
      <w:pPr>
        <w:widowControl/>
        <w:spacing w:line="460" w:lineRule="exact"/>
        <w:ind w:firstLine="301" w:firstLineChars="100"/>
        <w:rPr>
          <w:rFonts w:eastAsiaTheme="minorEastAsia"/>
          <w:b/>
          <w:bCs/>
          <w:color w:val="auto"/>
          <w:kern w:val="0"/>
          <w:sz w:val="30"/>
          <w:szCs w:val="30"/>
        </w:rPr>
      </w:pPr>
    </w:p>
    <w:p>
      <w:pPr>
        <w:widowControl/>
        <w:spacing w:line="460" w:lineRule="exact"/>
        <w:ind w:firstLine="301" w:firstLineChars="100"/>
        <w:rPr>
          <w:rFonts w:eastAsiaTheme="minorEastAsia"/>
          <w:b/>
          <w:bCs/>
          <w:color w:val="auto"/>
          <w:kern w:val="0"/>
          <w:sz w:val="30"/>
          <w:szCs w:val="30"/>
        </w:rPr>
      </w:pPr>
    </w:p>
    <w:p>
      <w:pPr>
        <w:widowControl/>
        <w:spacing w:line="460" w:lineRule="exact"/>
        <w:ind w:firstLine="301" w:firstLineChars="100"/>
        <w:rPr>
          <w:rFonts w:eastAsiaTheme="minorEastAsia"/>
          <w:b/>
          <w:bCs/>
          <w:color w:val="auto"/>
          <w:kern w:val="0"/>
          <w:sz w:val="30"/>
          <w:szCs w:val="30"/>
        </w:rPr>
      </w:pPr>
    </w:p>
    <w:p>
      <w:pPr>
        <w:widowControl/>
        <w:spacing w:line="460" w:lineRule="exact"/>
        <w:rPr>
          <w:rFonts w:eastAsiaTheme="minorEastAsia"/>
          <w:b/>
          <w:bCs/>
          <w:color w:val="auto"/>
          <w:kern w:val="0"/>
          <w:sz w:val="30"/>
          <w:szCs w:val="30"/>
        </w:rPr>
      </w:pPr>
      <w:r>
        <w:rPr>
          <w:rFonts w:eastAsiaTheme="minorEastAsia"/>
          <w:b/>
          <w:bCs/>
          <w:color w:val="auto"/>
          <w:kern w:val="0"/>
          <w:sz w:val="30"/>
          <w:szCs w:val="30"/>
        </w:rPr>
        <w:t>教授委员会主任委员签字：</w:t>
      </w:r>
    </w:p>
    <w:p>
      <w:pPr>
        <w:widowControl/>
        <w:spacing w:line="460" w:lineRule="exact"/>
        <w:rPr>
          <w:rFonts w:eastAsiaTheme="minorEastAsia"/>
          <w:b/>
          <w:bCs/>
          <w:color w:val="auto"/>
          <w:kern w:val="0"/>
          <w:sz w:val="30"/>
          <w:szCs w:val="30"/>
        </w:rPr>
      </w:pPr>
    </w:p>
    <w:p>
      <w:pPr>
        <w:widowControl/>
        <w:spacing w:line="460" w:lineRule="exact"/>
        <w:rPr>
          <w:rFonts w:eastAsiaTheme="minorEastAsia"/>
          <w:b/>
          <w:bCs/>
          <w:color w:val="auto"/>
          <w:kern w:val="0"/>
          <w:sz w:val="30"/>
          <w:szCs w:val="30"/>
        </w:rPr>
      </w:pPr>
    </w:p>
    <w:p>
      <w:pPr>
        <w:widowControl/>
        <w:spacing w:line="460" w:lineRule="exact"/>
        <w:rPr>
          <w:rFonts w:eastAsiaTheme="minorEastAsia"/>
          <w:b/>
          <w:bCs/>
          <w:color w:val="auto"/>
          <w:kern w:val="0"/>
          <w:sz w:val="30"/>
          <w:szCs w:val="30"/>
        </w:rPr>
      </w:pPr>
    </w:p>
    <w:p>
      <w:pPr>
        <w:widowControl/>
        <w:spacing w:line="460" w:lineRule="exact"/>
        <w:rPr>
          <w:rFonts w:eastAsiaTheme="minorEastAsia"/>
          <w:b/>
          <w:bCs/>
          <w:color w:val="auto"/>
          <w:kern w:val="0"/>
          <w:sz w:val="30"/>
          <w:szCs w:val="30"/>
        </w:rPr>
      </w:pPr>
      <w:r>
        <w:rPr>
          <w:rFonts w:eastAsiaTheme="minorEastAsia"/>
          <w:b/>
          <w:bCs/>
          <w:color w:val="auto"/>
          <w:kern w:val="0"/>
          <w:sz w:val="30"/>
          <w:szCs w:val="30"/>
        </w:rPr>
        <w:t>院长签字：</w:t>
      </w:r>
    </w:p>
    <w:p>
      <w:pPr>
        <w:widowControl/>
        <w:spacing w:line="460" w:lineRule="exact"/>
        <w:rPr>
          <w:rFonts w:eastAsiaTheme="minorEastAsia"/>
          <w:b/>
          <w:bCs/>
          <w:color w:val="auto"/>
          <w:kern w:val="0"/>
          <w:sz w:val="30"/>
          <w:szCs w:val="30"/>
        </w:rPr>
      </w:pPr>
    </w:p>
    <w:p>
      <w:pPr>
        <w:spacing w:line="480" w:lineRule="exact"/>
        <w:rPr>
          <w:rFonts w:eastAsiaTheme="minorEastAsia"/>
          <w:color w:val="auto"/>
        </w:rPr>
      </w:pPr>
    </w:p>
    <w:p>
      <w:pPr>
        <w:spacing w:line="480" w:lineRule="exact"/>
        <w:rPr>
          <w:rFonts w:eastAsiaTheme="minorEastAsia"/>
          <w:color w:val="auto"/>
        </w:rPr>
      </w:pPr>
    </w:p>
    <w:p>
      <w:pPr>
        <w:spacing w:line="480" w:lineRule="exact"/>
        <w:rPr>
          <w:rFonts w:eastAsiaTheme="minorEastAsia"/>
          <w:color w:val="auto"/>
        </w:rPr>
      </w:pPr>
    </w:p>
    <w:p>
      <w:pPr>
        <w:rPr>
          <w:rFonts w:eastAsiaTheme="minorEastAsia"/>
          <w:color w:val="auto"/>
        </w:rPr>
      </w:pPr>
    </w:p>
    <w:bookmarkEnd w:id="4"/>
    <w:sectPr>
      <w:pgSz w:w="11906" w:h="16838"/>
      <w:pgMar w:top="1531" w:right="1361" w:bottom="1021" w:left="1531" w:header="851" w:footer="1531"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Heiti SC Light">
    <w:altName w:val="Microsoft YaHei UI"/>
    <w:panose1 w:val="00000000000000000000"/>
    <w:charset w:val="50"/>
    <w:family w:val="auto"/>
    <w:pitch w:val="default"/>
    <w:sig w:usb0="00000000" w:usb1="00000000" w:usb2="00000010" w:usb3="00000000" w:csb0="003E0000" w:csb1="00000000"/>
  </w:font>
  <w:font w:name="Courier">
    <w:altName w:val="Courier New"/>
    <w:panose1 w:val="02070409020205020404"/>
    <w:charset w:val="00"/>
    <w:family w:val="modern"/>
    <w:pitch w:val="default"/>
    <w:sig w:usb0="00000000" w:usb1="00000000" w:usb2="00000000" w:usb3="00000000" w:csb0="00000001" w:csb1="00000000"/>
  </w:font>
  <w:font w:name="方正小标宋_GBK">
    <w:altName w:val="黑体"/>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12 -</w:t>
    </w:r>
    <w:r>
      <w:rPr>
        <w:rFonts w:hint="eastAsia" w:ascii="仿宋_GB2312" w:eastAsia="仿宋_GB2312"/>
        <w:sz w:val="30"/>
        <w:szCs w:val="30"/>
      </w:rPr>
      <w:fldChar w:fldCharType="end"/>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9330" w:y="86"/>
      <w:rPr>
        <w:rStyle w:val="28"/>
        <w:rFonts w:ascii="宋体" w:hAnsi="宋体"/>
        <w:sz w:val="28"/>
        <w:szCs w:val="28"/>
      </w:rPr>
    </w:pPr>
    <w:r>
      <w:rPr>
        <w:rStyle w:val="28"/>
        <w:rFonts w:hint="eastAsia" w:ascii="宋体" w:hAnsi="宋体"/>
        <w:sz w:val="28"/>
        <w:szCs w:val="28"/>
      </w:rPr>
      <w:t xml:space="preserve">— </w:t>
    </w:r>
    <w:r>
      <w:rPr>
        <w:rFonts w:ascii="宋体" w:hAnsi="宋体"/>
        <w:sz w:val="28"/>
        <w:szCs w:val="28"/>
      </w:rPr>
      <w:fldChar w:fldCharType="begin"/>
    </w:r>
    <w:r>
      <w:rPr>
        <w:rStyle w:val="28"/>
        <w:rFonts w:ascii="宋体" w:hAnsi="宋体"/>
        <w:sz w:val="28"/>
        <w:szCs w:val="28"/>
      </w:rPr>
      <w:instrText xml:space="preserve">PAGE  </w:instrText>
    </w:r>
    <w:r>
      <w:rPr>
        <w:rFonts w:ascii="宋体" w:hAnsi="宋体"/>
        <w:sz w:val="28"/>
        <w:szCs w:val="28"/>
      </w:rPr>
      <w:fldChar w:fldCharType="separate"/>
    </w:r>
    <w:r>
      <w:rPr>
        <w:rStyle w:val="28"/>
        <w:rFonts w:ascii="宋体" w:hAnsi="宋体"/>
        <w:sz w:val="28"/>
        <w:szCs w:val="28"/>
      </w:rPr>
      <w:t>16</w:t>
    </w:r>
    <w:r>
      <w:rPr>
        <w:rFonts w:ascii="宋体" w:hAnsi="宋体"/>
        <w:sz w:val="28"/>
        <w:szCs w:val="28"/>
      </w:rPr>
      <w:fldChar w:fldCharType="end"/>
    </w:r>
    <w:r>
      <w:rPr>
        <w:rStyle w:val="28"/>
        <w:rFonts w:hint="eastAsia" w:ascii="宋体" w:hAnsi="宋体"/>
        <w:sz w:val="28"/>
        <w:szCs w:val="28"/>
      </w:rPr>
      <w:t xml:space="preserve"> —</w:t>
    </w:r>
  </w:p>
  <w:p>
    <w:pPr>
      <w:pStyle w:val="14"/>
      <w:tabs>
        <w:tab w:val="left" w:pos="5940"/>
        <w:tab w:val="clear" w:pos="4153"/>
        <w:tab w:val="clear" w:pos="8306"/>
      </w:tabs>
      <w:ind w:right="360" w:firstLine="360"/>
    </w:pPr>
    <w:r>
      <w:tab/>
    </w:r>
  </w:p>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1770" w:y="86"/>
      <w:rPr>
        <w:rStyle w:val="28"/>
        <w:rFonts w:ascii="宋体" w:hAnsi="宋体"/>
        <w:sz w:val="28"/>
        <w:szCs w:val="28"/>
      </w:rPr>
    </w:pPr>
    <w:r>
      <w:rPr>
        <w:rStyle w:val="28"/>
        <w:rFonts w:hint="eastAsia" w:ascii="宋体" w:hAnsi="宋体"/>
        <w:sz w:val="28"/>
        <w:szCs w:val="28"/>
      </w:rPr>
      <w:t xml:space="preserve">— </w:t>
    </w:r>
    <w:r>
      <w:rPr>
        <w:rFonts w:ascii="宋体" w:hAnsi="宋体"/>
        <w:sz w:val="28"/>
        <w:szCs w:val="28"/>
      </w:rPr>
      <w:fldChar w:fldCharType="begin"/>
    </w:r>
    <w:r>
      <w:rPr>
        <w:rStyle w:val="28"/>
        <w:rFonts w:ascii="宋体" w:hAnsi="宋体"/>
        <w:sz w:val="28"/>
        <w:szCs w:val="28"/>
      </w:rPr>
      <w:instrText xml:space="preserve">PAGE  </w:instrText>
    </w:r>
    <w:r>
      <w:rPr>
        <w:rFonts w:ascii="宋体" w:hAnsi="宋体"/>
        <w:sz w:val="28"/>
        <w:szCs w:val="28"/>
      </w:rPr>
      <w:fldChar w:fldCharType="separate"/>
    </w:r>
    <w:r>
      <w:rPr>
        <w:rStyle w:val="28"/>
        <w:rFonts w:ascii="宋体" w:hAnsi="宋体"/>
        <w:sz w:val="28"/>
        <w:szCs w:val="28"/>
      </w:rPr>
      <w:t>14</w:t>
    </w:r>
    <w:r>
      <w:rPr>
        <w:rFonts w:ascii="宋体" w:hAnsi="宋体"/>
        <w:sz w:val="28"/>
        <w:szCs w:val="28"/>
      </w:rPr>
      <w:fldChar w:fldCharType="end"/>
    </w:r>
    <w:r>
      <w:rPr>
        <w:rStyle w:val="28"/>
        <w:rFonts w:hint="eastAsia" w:ascii="宋体" w:hAnsi="宋体"/>
        <w:sz w:val="28"/>
        <w:szCs w:val="28"/>
      </w:rPr>
      <w:t xml:space="preserve"> —</w:t>
    </w:r>
  </w:p>
  <w:p>
    <w:pPr>
      <w:pStyle w:val="14"/>
      <w:ind w:right="360" w:firstLine="360"/>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61E14"/>
    <w:multiLevelType w:val="singleLevel"/>
    <w:tmpl w:val="FFF61E1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D5038"/>
    <w:rsid w:val="0000124C"/>
    <w:rsid w:val="00004A9C"/>
    <w:rsid w:val="00004C82"/>
    <w:rsid w:val="00004F41"/>
    <w:rsid w:val="00014573"/>
    <w:rsid w:val="00015A3C"/>
    <w:rsid w:val="00020DCC"/>
    <w:rsid w:val="0002715E"/>
    <w:rsid w:val="000279FA"/>
    <w:rsid w:val="000347D5"/>
    <w:rsid w:val="00034A9A"/>
    <w:rsid w:val="0004457B"/>
    <w:rsid w:val="00046278"/>
    <w:rsid w:val="000545C8"/>
    <w:rsid w:val="000571EC"/>
    <w:rsid w:val="00061274"/>
    <w:rsid w:val="00061336"/>
    <w:rsid w:val="00071467"/>
    <w:rsid w:val="00073408"/>
    <w:rsid w:val="00073F65"/>
    <w:rsid w:val="00080C24"/>
    <w:rsid w:val="000816A2"/>
    <w:rsid w:val="00085591"/>
    <w:rsid w:val="000A70E4"/>
    <w:rsid w:val="000B2BD3"/>
    <w:rsid w:val="000C1B75"/>
    <w:rsid w:val="000D069A"/>
    <w:rsid w:val="000D2A22"/>
    <w:rsid w:val="000D3C89"/>
    <w:rsid w:val="000D446D"/>
    <w:rsid w:val="000E74BD"/>
    <w:rsid w:val="000F64F0"/>
    <w:rsid w:val="0011416A"/>
    <w:rsid w:val="0012050D"/>
    <w:rsid w:val="001338E9"/>
    <w:rsid w:val="0014101F"/>
    <w:rsid w:val="00141E0C"/>
    <w:rsid w:val="001429AF"/>
    <w:rsid w:val="00143BC8"/>
    <w:rsid w:val="00145715"/>
    <w:rsid w:val="0014605C"/>
    <w:rsid w:val="00152132"/>
    <w:rsid w:val="0016003B"/>
    <w:rsid w:val="00165DFD"/>
    <w:rsid w:val="0017003F"/>
    <w:rsid w:val="001728F1"/>
    <w:rsid w:val="00172CC1"/>
    <w:rsid w:val="0018253B"/>
    <w:rsid w:val="00187205"/>
    <w:rsid w:val="00192D6E"/>
    <w:rsid w:val="00194283"/>
    <w:rsid w:val="001A0641"/>
    <w:rsid w:val="001A7247"/>
    <w:rsid w:val="001B1AA4"/>
    <w:rsid w:val="001B515E"/>
    <w:rsid w:val="001C360A"/>
    <w:rsid w:val="001C3622"/>
    <w:rsid w:val="001D49B1"/>
    <w:rsid w:val="001F2C42"/>
    <w:rsid w:val="001F2E72"/>
    <w:rsid w:val="001F6D0C"/>
    <w:rsid w:val="001F7466"/>
    <w:rsid w:val="00201D4C"/>
    <w:rsid w:val="0020421A"/>
    <w:rsid w:val="00210538"/>
    <w:rsid w:val="00212483"/>
    <w:rsid w:val="00213014"/>
    <w:rsid w:val="0021323D"/>
    <w:rsid w:val="0021341F"/>
    <w:rsid w:val="0021375F"/>
    <w:rsid w:val="00220ABD"/>
    <w:rsid w:val="00224D38"/>
    <w:rsid w:val="00231484"/>
    <w:rsid w:val="002357FC"/>
    <w:rsid w:val="00236E48"/>
    <w:rsid w:val="00237157"/>
    <w:rsid w:val="002463B3"/>
    <w:rsid w:val="002518A4"/>
    <w:rsid w:val="00253EF4"/>
    <w:rsid w:val="00262400"/>
    <w:rsid w:val="002635B7"/>
    <w:rsid w:val="002648F1"/>
    <w:rsid w:val="00265903"/>
    <w:rsid w:val="00266E08"/>
    <w:rsid w:val="00267565"/>
    <w:rsid w:val="00271AD4"/>
    <w:rsid w:val="00276941"/>
    <w:rsid w:val="00277FB1"/>
    <w:rsid w:val="002804C0"/>
    <w:rsid w:val="00284E0B"/>
    <w:rsid w:val="00294948"/>
    <w:rsid w:val="00295DF6"/>
    <w:rsid w:val="002A1466"/>
    <w:rsid w:val="002B658C"/>
    <w:rsid w:val="002B7636"/>
    <w:rsid w:val="002B782B"/>
    <w:rsid w:val="002C0C88"/>
    <w:rsid w:val="002C1E5A"/>
    <w:rsid w:val="002C712C"/>
    <w:rsid w:val="002D60D3"/>
    <w:rsid w:val="002D78FB"/>
    <w:rsid w:val="002E050C"/>
    <w:rsid w:val="002E6480"/>
    <w:rsid w:val="002E7916"/>
    <w:rsid w:val="002F1689"/>
    <w:rsid w:val="002F3186"/>
    <w:rsid w:val="002F589B"/>
    <w:rsid w:val="002F6378"/>
    <w:rsid w:val="003029F2"/>
    <w:rsid w:val="00303674"/>
    <w:rsid w:val="00303D89"/>
    <w:rsid w:val="00304A20"/>
    <w:rsid w:val="00304EFA"/>
    <w:rsid w:val="003127ED"/>
    <w:rsid w:val="00314012"/>
    <w:rsid w:val="003259A9"/>
    <w:rsid w:val="00327C17"/>
    <w:rsid w:val="00330F90"/>
    <w:rsid w:val="003448E8"/>
    <w:rsid w:val="00350952"/>
    <w:rsid w:val="00352AD8"/>
    <w:rsid w:val="0035598E"/>
    <w:rsid w:val="003767EB"/>
    <w:rsid w:val="00380C53"/>
    <w:rsid w:val="00382F0F"/>
    <w:rsid w:val="00386375"/>
    <w:rsid w:val="00386692"/>
    <w:rsid w:val="00391D28"/>
    <w:rsid w:val="0039411B"/>
    <w:rsid w:val="00395510"/>
    <w:rsid w:val="00395E9E"/>
    <w:rsid w:val="0039644C"/>
    <w:rsid w:val="00397410"/>
    <w:rsid w:val="003A1C00"/>
    <w:rsid w:val="003A22C0"/>
    <w:rsid w:val="003A6A44"/>
    <w:rsid w:val="003C014D"/>
    <w:rsid w:val="003C357B"/>
    <w:rsid w:val="003C44EE"/>
    <w:rsid w:val="003C76BE"/>
    <w:rsid w:val="003C783D"/>
    <w:rsid w:val="003C7F86"/>
    <w:rsid w:val="003D4A21"/>
    <w:rsid w:val="003E3549"/>
    <w:rsid w:val="003F73C7"/>
    <w:rsid w:val="00401206"/>
    <w:rsid w:val="004027B5"/>
    <w:rsid w:val="00404E13"/>
    <w:rsid w:val="00407732"/>
    <w:rsid w:val="00410D66"/>
    <w:rsid w:val="0041190F"/>
    <w:rsid w:val="00416AB1"/>
    <w:rsid w:val="004257C7"/>
    <w:rsid w:val="00443B5D"/>
    <w:rsid w:val="00446109"/>
    <w:rsid w:val="0045060B"/>
    <w:rsid w:val="00454179"/>
    <w:rsid w:val="00455E19"/>
    <w:rsid w:val="004566AF"/>
    <w:rsid w:val="004566DF"/>
    <w:rsid w:val="00470DE8"/>
    <w:rsid w:val="00471119"/>
    <w:rsid w:val="00477511"/>
    <w:rsid w:val="00484392"/>
    <w:rsid w:val="00485225"/>
    <w:rsid w:val="00486804"/>
    <w:rsid w:val="004902DB"/>
    <w:rsid w:val="00492D6D"/>
    <w:rsid w:val="004A6276"/>
    <w:rsid w:val="004B1A7D"/>
    <w:rsid w:val="004B1B84"/>
    <w:rsid w:val="004B2776"/>
    <w:rsid w:val="004B3B7D"/>
    <w:rsid w:val="004B7061"/>
    <w:rsid w:val="004B7A4D"/>
    <w:rsid w:val="004C58FB"/>
    <w:rsid w:val="004D19D8"/>
    <w:rsid w:val="004D1F36"/>
    <w:rsid w:val="004D2AE4"/>
    <w:rsid w:val="004D6E57"/>
    <w:rsid w:val="004D7CFE"/>
    <w:rsid w:val="004E568B"/>
    <w:rsid w:val="004F5AB8"/>
    <w:rsid w:val="00502B1F"/>
    <w:rsid w:val="0051405F"/>
    <w:rsid w:val="00517DAA"/>
    <w:rsid w:val="00522DC1"/>
    <w:rsid w:val="00532A44"/>
    <w:rsid w:val="005339E6"/>
    <w:rsid w:val="005349E3"/>
    <w:rsid w:val="00540399"/>
    <w:rsid w:val="00543637"/>
    <w:rsid w:val="00547CAF"/>
    <w:rsid w:val="0055456E"/>
    <w:rsid w:val="00555D29"/>
    <w:rsid w:val="00572A53"/>
    <w:rsid w:val="00573BC9"/>
    <w:rsid w:val="005747B7"/>
    <w:rsid w:val="005778BE"/>
    <w:rsid w:val="00585FD0"/>
    <w:rsid w:val="00590726"/>
    <w:rsid w:val="00590B9A"/>
    <w:rsid w:val="00591CCA"/>
    <w:rsid w:val="005A6D86"/>
    <w:rsid w:val="005B56A7"/>
    <w:rsid w:val="005B7EF8"/>
    <w:rsid w:val="005C0BE2"/>
    <w:rsid w:val="005C2997"/>
    <w:rsid w:val="005C3C09"/>
    <w:rsid w:val="005D1621"/>
    <w:rsid w:val="005D253D"/>
    <w:rsid w:val="005D453C"/>
    <w:rsid w:val="005D5038"/>
    <w:rsid w:val="00603B32"/>
    <w:rsid w:val="00604E1C"/>
    <w:rsid w:val="00605E03"/>
    <w:rsid w:val="00606738"/>
    <w:rsid w:val="00620C88"/>
    <w:rsid w:val="0064239E"/>
    <w:rsid w:val="00643DCF"/>
    <w:rsid w:val="00645D60"/>
    <w:rsid w:val="0065569E"/>
    <w:rsid w:val="00662E0E"/>
    <w:rsid w:val="00663299"/>
    <w:rsid w:val="006664D3"/>
    <w:rsid w:val="006761F5"/>
    <w:rsid w:val="006826DF"/>
    <w:rsid w:val="006937C2"/>
    <w:rsid w:val="0069388C"/>
    <w:rsid w:val="006A66CB"/>
    <w:rsid w:val="006B078E"/>
    <w:rsid w:val="006B10CC"/>
    <w:rsid w:val="006B3976"/>
    <w:rsid w:val="006B6185"/>
    <w:rsid w:val="006C1937"/>
    <w:rsid w:val="006C295D"/>
    <w:rsid w:val="006C6A95"/>
    <w:rsid w:val="006D076E"/>
    <w:rsid w:val="006D166D"/>
    <w:rsid w:val="006D1CC4"/>
    <w:rsid w:val="006D6316"/>
    <w:rsid w:val="006D653F"/>
    <w:rsid w:val="006D73E8"/>
    <w:rsid w:val="006E06E5"/>
    <w:rsid w:val="006E1A1D"/>
    <w:rsid w:val="006E439A"/>
    <w:rsid w:val="006E7B16"/>
    <w:rsid w:val="006F0ED3"/>
    <w:rsid w:val="006F325E"/>
    <w:rsid w:val="00702AB2"/>
    <w:rsid w:val="00704A71"/>
    <w:rsid w:val="007073D5"/>
    <w:rsid w:val="007132FF"/>
    <w:rsid w:val="0072329C"/>
    <w:rsid w:val="00723679"/>
    <w:rsid w:val="00730946"/>
    <w:rsid w:val="00735371"/>
    <w:rsid w:val="007439FA"/>
    <w:rsid w:val="0076150A"/>
    <w:rsid w:val="00771586"/>
    <w:rsid w:val="00773031"/>
    <w:rsid w:val="00773C1B"/>
    <w:rsid w:val="00783088"/>
    <w:rsid w:val="00786ECD"/>
    <w:rsid w:val="00796AFF"/>
    <w:rsid w:val="007A0222"/>
    <w:rsid w:val="007A642A"/>
    <w:rsid w:val="007B2E6D"/>
    <w:rsid w:val="007B3463"/>
    <w:rsid w:val="007B49C6"/>
    <w:rsid w:val="007D240B"/>
    <w:rsid w:val="007D656C"/>
    <w:rsid w:val="007D6F2F"/>
    <w:rsid w:val="007E0EFF"/>
    <w:rsid w:val="007E3557"/>
    <w:rsid w:val="007E5081"/>
    <w:rsid w:val="007F4EE0"/>
    <w:rsid w:val="007F4F7E"/>
    <w:rsid w:val="007F57C6"/>
    <w:rsid w:val="00801550"/>
    <w:rsid w:val="00802ECB"/>
    <w:rsid w:val="00812122"/>
    <w:rsid w:val="0082574F"/>
    <w:rsid w:val="00827346"/>
    <w:rsid w:val="008278AD"/>
    <w:rsid w:val="008365BA"/>
    <w:rsid w:val="00852019"/>
    <w:rsid w:val="008530EC"/>
    <w:rsid w:val="00854F29"/>
    <w:rsid w:val="00861971"/>
    <w:rsid w:val="00871C92"/>
    <w:rsid w:val="00871F18"/>
    <w:rsid w:val="00882A40"/>
    <w:rsid w:val="00882BBA"/>
    <w:rsid w:val="0088352A"/>
    <w:rsid w:val="00891D8E"/>
    <w:rsid w:val="00892216"/>
    <w:rsid w:val="008A342F"/>
    <w:rsid w:val="008A47E4"/>
    <w:rsid w:val="008A75B0"/>
    <w:rsid w:val="008A7762"/>
    <w:rsid w:val="008B132F"/>
    <w:rsid w:val="008B6EF6"/>
    <w:rsid w:val="008C26CB"/>
    <w:rsid w:val="008C4E7F"/>
    <w:rsid w:val="008D4590"/>
    <w:rsid w:val="008E54F2"/>
    <w:rsid w:val="009003BE"/>
    <w:rsid w:val="009059B0"/>
    <w:rsid w:val="00907C1A"/>
    <w:rsid w:val="00916486"/>
    <w:rsid w:val="00931AE1"/>
    <w:rsid w:val="0093207E"/>
    <w:rsid w:val="009331C3"/>
    <w:rsid w:val="00944FEB"/>
    <w:rsid w:val="0095416A"/>
    <w:rsid w:val="00955272"/>
    <w:rsid w:val="00961FFD"/>
    <w:rsid w:val="009646A8"/>
    <w:rsid w:val="0096477C"/>
    <w:rsid w:val="00971390"/>
    <w:rsid w:val="0098220D"/>
    <w:rsid w:val="0098274C"/>
    <w:rsid w:val="0098316A"/>
    <w:rsid w:val="00990BB5"/>
    <w:rsid w:val="009A212C"/>
    <w:rsid w:val="009B0908"/>
    <w:rsid w:val="009B2421"/>
    <w:rsid w:val="009B2887"/>
    <w:rsid w:val="009B57D3"/>
    <w:rsid w:val="009C0D53"/>
    <w:rsid w:val="009C23E3"/>
    <w:rsid w:val="009C2BE3"/>
    <w:rsid w:val="009D030C"/>
    <w:rsid w:val="009D4C4D"/>
    <w:rsid w:val="009E12BE"/>
    <w:rsid w:val="009E13A8"/>
    <w:rsid w:val="009E46B7"/>
    <w:rsid w:val="009F6C9C"/>
    <w:rsid w:val="00A0098F"/>
    <w:rsid w:val="00A021DF"/>
    <w:rsid w:val="00A07A83"/>
    <w:rsid w:val="00A11108"/>
    <w:rsid w:val="00A13925"/>
    <w:rsid w:val="00A167F6"/>
    <w:rsid w:val="00A16ACD"/>
    <w:rsid w:val="00A17EEA"/>
    <w:rsid w:val="00A26D81"/>
    <w:rsid w:val="00A313FB"/>
    <w:rsid w:val="00A45E15"/>
    <w:rsid w:val="00A63A48"/>
    <w:rsid w:val="00A65030"/>
    <w:rsid w:val="00A708CE"/>
    <w:rsid w:val="00A81518"/>
    <w:rsid w:val="00A84C04"/>
    <w:rsid w:val="00A84E7F"/>
    <w:rsid w:val="00A86E96"/>
    <w:rsid w:val="00AA53E2"/>
    <w:rsid w:val="00AB358F"/>
    <w:rsid w:val="00AB446B"/>
    <w:rsid w:val="00AB491C"/>
    <w:rsid w:val="00AB7F14"/>
    <w:rsid w:val="00AC1F83"/>
    <w:rsid w:val="00AC551C"/>
    <w:rsid w:val="00AF4CDE"/>
    <w:rsid w:val="00AF5F5C"/>
    <w:rsid w:val="00AF6976"/>
    <w:rsid w:val="00B076CF"/>
    <w:rsid w:val="00B14DE0"/>
    <w:rsid w:val="00B204A7"/>
    <w:rsid w:val="00B218C3"/>
    <w:rsid w:val="00B30A05"/>
    <w:rsid w:val="00B31396"/>
    <w:rsid w:val="00B339C2"/>
    <w:rsid w:val="00B3426D"/>
    <w:rsid w:val="00B34F0F"/>
    <w:rsid w:val="00B43D34"/>
    <w:rsid w:val="00B448C7"/>
    <w:rsid w:val="00B452EA"/>
    <w:rsid w:val="00B45E7B"/>
    <w:rsid w:val="00B55A81"/>
    <w:rsid w:val="00B67099"/>
    <w:rsid w:val="00B712FC"/>
    <w:rsid w:val="00B72B7D"/>
    <w:rsid w:val="00B74E2D"/>
    <w:rsid w:val="00B76570"/>
    <w:rsid w:val="00B80959"/>
    <w:rsid w:val="00B83E20"/>
    <w:rsid w:val="00B918F1"/>
    <w:rsid w:val="00B97847"/>
    <w:rsid w:val="00BA20B6"/>
    <w:rsid w:val="00BA6F9F"/>
    <w:rsid w:val="00BB40E7"/>
    <w:rsid w:val="00BB53F3"/>
    <w:rsid w:val="00BC0432"/>
    <w:rsid w:val="00BC4A84"/>
    <w:rsid w:val="00BC562F"/>
    <w:rsid w:val="00BC5CBF"/>
    <w:rsid w:val="00BF7B96"/>
    <w:rsid w:val="00C03699"/>
    <w:rsid w:val="00C050A5"/>
    <w:rsid w:val="00C05D24"/>
    <w:rsid w:val="00C10C71"/>
    <w:rsid w:val="00C23B95"/>
    <w:rsid w:val="00C24D2A"/>
    <w:rsid w:val="00C24FA2"/>
    <w:rsid w:val="00C30C1D"/>
    <w:rsid w:val="00C34951"/>
    <w:rsid w:val="00C3590A"/>
    <w:rsid w:val="00C465E5"/>
    <w:rsid w:val="00C47214"/>
    <w:rsid w:val="00C51C4C"/>
    <w:rsid w:val="00C53BF1"/>
    <w:rsid w:val="00C63924"/>
    <w:rsid w:val="00C658E3"/>
    <w:rsid w:val="00C762BA"/>
    <w:rsid w:val="00C83785"/>
    <w:rsid w:val="00C8564E"/>
    <w:rsid w:val="00C92EE0"/>
    <w:rsid w:val="00C96074"/>
    <w:rsid w:val="00CA0DF7"/>
    <w:rsid w:val="00CA1DDB"/>
    <w:rsid w:val="00CC6D81"/>
    <w:rsid w:val="00CC7093"/>
    <w:rsid w:val="00CD25E4"/>
    <w:rsid w:val="00CD3A0F"/>
    <w:rsid w:val="00CE000C"/>
    <w:rsid w:val="00CE677A"/>
    <w:rsid w:val="00CE67EE"/>
    <w:rsid w:val="00CE72FF"/>
    <w:rsid w:val="00CE7C8D"/>
    <w:rsid w:val="00D0160A"/>
    <w:rsid w:val="00D1005C"/>
    <w:rsid w:val="00D167C8"/>
    <w:rsid w:val="00D32049"/>
    <w:rsid w:val="00D33E74"/>
    <w:rsid w:val="00D3548F"/>
    <w:rsid w:val="00D41EB4"/>
    <w:rsid w:val="00D465DA"/>
    <w:rsid w:val="00D52951"/>
    <w:rsid w:val="00D54501"/>
    <w:rsid w:val="00D57369"/>
    <w:rsid w:val="00D61BD2"/>
    <w:rsid w:val="00D75935"/>
    <w:rsid w:val="00D808D5"/>
    <w:rsid w:val="00D8623E"/>
    <w:rsid w:val="00D93A78"/>
    <w:rsid w:val="00DA2227"/>
    <w:rsid w:val="00DB1D5E"/>
    <w:rsid w:val="00DB3AC7"/>
    <w:rsid w:val="00DC2220"/>
    <w:rsid w:val="00DD409E"/>
    <w:rsid w:val="00DF0291"/>
    <w:rsid w:val="00DF3080"/>
    <w:rsid w:val="00DF30F6"/>
    <w:rsid w:val="00E01A83"/>
    <w:rsid w:val="00E01D6F"/>
    <w:rsid w:val="00E05966"/>
    <w:rsid w:val="00E0637B"/>
    <w:rsid w:val="00E10CB0"/>
    <w:rsid w:val="00E159D4"/>
    <w:rsid w:val="00E35F9C"/>
    <w:rsid w:val="00E4214F"/>
    <w:rsid w:val="00E814D7"/>
    <w:rsid w:val="00E8555D"/>
    <w:rsid w:val="00E93A8B"/>
    <w:rsid w:val="00E941C1"/>
    <w:rsid w:val="00EA0514"/>
    <w:rsid w:val="00EA4B4C"/>
    <w:rsid w:val="00EA5713"/>
    <w:rsid w:val="00EB4718"/>
    <w:rsid w:val="00EB7157"/>
    <w:rsid w:val="00EB7AE9"/>
    <w:rsid w:val="00EC04AC"/>
    <w:rsid w:val="00EC1178"/>
    <w:rsid w:val="00EC14ED"/>
    <w:rsid w:val="00ED2951"/>
    <w:rsid w:val="00EF1687"/>
    <w:rsid w:val="00EF27A9"/>
    <w:rsid w:val="00EF3C72"/>
    <w:rsid w:val="00F06D84"/>
    <w:rsid w:val="00F17D30"/>
    <w:rsid w:val="00F20C39"/>
    <w:rsid w:val="00F26671"/>
    <w:rsid w:val="00F26D44"/>
    <w:rsid w:val="00F3112A"/>
    <w:rsid w:val="00F34753"/>
    <w:rsid w:val="00F406ED"/>
    <w:rsid w:val="00F40E33"/>
    <w:rsid w:val="00F41FE0"/>
    <w:rsid w:val="00F44F0E"/>
    <w:rsid w:val="00F500A6"/>
    <w:rsid w:val="00F545E7"/>
    <w:rsid w:val="00F56942"/>
    <w:rsid w:val="00F6147C"/>
    <w:rsid w:val="00F61663"/>
    <w:rsid w:val="00F63CD3"/>
    <w:rsid w:val="00F72140"/>
    <w:rsid w:val="00F828E2"/>
    <w:rsid w:val="00F871DD"/>
    <w:rsid w:val="00F92894"/>
    <w:rsid w:val="00F946F4"/>
    <w:rsid w:val="00F96412"/>
    <w:rsid w:val="00FA0817"/>
    <w:rsid w:val="00FA5322"/>
    <w:rsid w:val="00FA6ED1"/>
    <w:rsid w:val="00FA7A7B"/>
    <w:rsid w:val="00FB1872"/>
    <w:rsid w:val="00FB65AC"/>
    <w:rsid w:val="00FB711A"/>
    <w:rsid w:val="00FC356A"/>
    <w:rsid w:val="00FC5C16"/>
    <w:rsid w:val="00FD0DED"/>
    <w:rsid w:val="00FD1CEE"/>
    <w:rsid w:val="00FD39EB"/>
    <w:rsid w:val="00FD6BA9"/>
    <w:rsid w:val="00FE4CA3"/>
    <w:rsid w:val="00FE64FA"/>
    <w:rsid w:val="00FE6835"/>
    <w:rsid w:val="00FE6AD8"/>
    <w:rsid w:val="00FF2FAB"/>
    <w:rsid w:val="00FF5D44"/>
    <w:rsid w:val="02C95014"/>
    <w:rsid w:val="07481D97"/>
    <w:rsid w:val="0F933BAF"/>
    <w:rsid w:val="17864642"/>
    <w:rsid w:val="1B434F00"/>
    <w:rsid w:val="1BBB45BB"/>
    <w:rsid w:val="1D867A61"/>
    <w:rsid w:val="22596E6B"/>
    <w:rsid w:val="29906EE8"/>
    <w:rsid w:val="2D873EB9"/>
    <w:rsid w:val="3A337986"/>
    <w:rsid w:val="417D7609"/>
    <w:rsid w:val="449F43B9"/>
    <w:rsid w:val="481F573B"/>
    <w:rsid w:val="4923329C"/>
    <w:rsid w:val="4F4977EE"/>
    <w:rsid w:val="526C6A46"/>
    <w:rsid w:val="5525605C"/>
    <w:rsid w:val="6A836690"/>
    <w:rsid w:val="6E215B6D"/>
    <w:rsid w:val="70D64997"/>
    <w:rsid w:val="7511048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qFormat="1" w:unhideWhenUsed="0" w:uiPriority="99"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2"/>
    <w:qFormat/>
    <w:uiPriority w:val="1"/>
    <w:pPr>
      <w:keepNext/>
      <w:keepLines/>
      <w:spacing w:line="360" w:lineRule="auto"/>
      <w:ind w:firstLine="643" w:firstLineChars="200"/>
      <w:outlineLvl w:val="0"/>
    </w:pPr>
    <w:rPr>
      <w:rFonts w:eastAsia="仿宋"/>
      <w:b/>
      <w:bCs/>
      <w:kern w:val="44"/>
      <w:sz w:val="32"/>
      <w:szCs w:val="44"/>
    </w:rPr>
  </w:style>
  <w:style w:type="paragraph" w:styleId="3">
    <w:name w:val="heading 2"/>
    <w:basedOn w:val="1"/>
    <w:next w:val="1"/>
    <w:link w:val="33"/>
    <w:qFormat/>
    <w:uiPriority w:val="1"/>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34"/>
    <w:qFormat/>
    <w:uiPriority w:val="9"/>
    <w:pPr>
      <w:keepNext/>
      <w:keepLines/>
      <w:spacing w:before="260" w:after="260" w:line="416" w:lineRule="auto"/>
      <w:outlineLvl w:val="2"/>
    </w:pPr>
    <w:rPr>
      <w:b/>
      <w:bCs/>
      <w:sz w:val="32"/>
      <w:szCs w:val="32"/>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00" w:leftChars="400" w:hanging="200" w:hangingChars="200"/>
    </w:pPr>
  </w:style>
  <w:style w:type="paragraph" w:styleId="6">
    <w:name w:val="annotation text"/>
    <w:basedOn w:val="1"/>
    <w:link w:val="52"/>
    <w:unhideWhenUsed/>
    <w:qFormat/>
    <w:uiPriority w:val="0"/>
    <w:pPr>
      <w:jc w:val="left"/>
    </w:pPr>
    <w:rPr>
      <w:rFonts w:ascii="Calibri" w:hAnsi="Calibri" w:eastAsiaTheme="minorEastAsia" w:cstheme="minorBidi"/>
      <w:szCs w:val="22"/>
    </w:rPr>
  </w:style>
  <w:style w:type="paragraph" w:styleId="7">
    <w:name w:val="Body Text"/>
    <w:basedOn w:val="1"/>
    <w:link w:val="59"/>
    <w:qFormat/>
    <w:uiPriority w:val="1"/>
    <w:pPr>
      <w:spacing w:after="120"/>
    </w:pPr>
    <w:rPr>
      <w:rFonts w:asciiTheme="minorHAnsi" w:hAnsiTheme="minorHAnsi" w:eastAsiaTheme="minorEastAsia" w:cstheme="minorBidi"/>
    </w:rPr>
  </w:style>
  <w:style w:type="paragraph" w:styleId="8">
    <w:name w:val="Body Text Indent"/>
    <w:basedOn w:val="1"/>
    <w:link w:val="63"/>
    <w:qFormat/>
    <w:uiPriority w:val="0"/>
    <w:pPr>
      <w:spacing w:after="120"/>
      <w:ind w:left="420" w:leftChars="200"/>
    </w:pPr>
  </w:style>
  <w:style w:type="paragraph" w:styleId="9">
    <w:name w:val="List 2"/>
    <w:basedOn w:val="1"/>
    <w:qFormat/>
    <w:uiPriority w:val="0"/>
    <w:pPr>
      <w:ind w:left="100" w:leftChars="200" w:hanging="200" w:hangingChars="200"/>
    </w:pPr>
  </w:style>
  <w:style w:type="paragraph" w:styleId="10">
    <w:name w:val="Plain Text"/>
    <w:basedOn w:val="1"/>
    <w:link w:val="57"/>
    <w:qFormat/>
    <w:uiPriority w:val="0"/>
    <w:pPr>
      <w:widowControl/>
      <w:spacing w:before="100" w:beforeAutospacing="1" w:after="100" w:afterAutospacing="1"/>
      <w:jc w:val="left"/>
    </w:pPr>
    <w:rPr>
      <w:rFonts w:ascii="宋体" w:hAnsi="宋体" w:eastAsiaTheme="minorEastAsia" w:cstheme="minorBidi"/>
      <w:sz w:val="24"/>
    </w:rPr>
  </w:style>
  <w:style w:type="paragraph" w:styleId="11">
    <w:name w:val="Date"/>
    <w:basedOn w:val="1"/>
    <w:next w:val="1"/>
    <w:link w:val="62"/>
    <w:qFormat/>
    <w:uiPriority w:val="0"/>
    <w:pPr>
      <w:ind w:left="100" w:leftChars="2500"/>
    </w:pPr>
  </w:style>
  <w:style w:type="paragraph" w:styleId="12">
    <w:name w:val="Body Text Indent 2"/>
    <w:basedOn w:val="1"/>
    <w:link w:val="68"/>
    <w:qFormat/>
    <w:uiPriority w:val="0"/>
    <w:pPr>
      <w:spacing w:after="120" w:line="480" w:lineRule="auto"/>
      <w:ind w:left="420" w:leftChars="200"/>
    </w:pPr>
  </w:style>
  <w:style w:type="paragraph" w:styleId="13">
    <w:name w:val="Balloon Text"/>
    <w:basedOn w:val="1"/>
    <w:link w:val="58"/>
    <w:qFormat/>
    <w:uiPriority w:val="0"/>
    <w:rPr>
      <w:rFonts w:asciiTheme="minorHAnsi" w:hAnsiTheme="minorHAnsi" w:eastAsiaTheme="minorEastAsia" w:cstheme="minorBidi"/>
      <w:sz w:val="18"/>
      <w:szCs w:val="18"/>
    </w:rPr>
  </w:style>
  <w:style w:type="paragraph" w:styleId="14">
    <w:name w:val="footer"/>
    <w:basedOn w:val="1"/>
    <w:link w:val="50"/>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5">
    <w:name w:val="header"/>
    <w:basedOn w:val="1"/>
    <w:link w:val="42"/>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6">
    <w:name w:val="toc 1"/>
    <w:basedOn w:val="1"/>
    <w:next w:val="1"/>
    <w:qFormat/>
    <w:uiPriority w:val="0"/>
    <w:rPr>
      <w:rFonts w:ascii="仿宋_GB2312" w:eastAsia="仿宋_GB2312"/>
      <w:color w:val="000000"/>
      <w:szCs w:val="21"/>
    </w:rPr>
  </w:style>
  <w:style w:type="paragraph" w:styleId="17">
    <w:name w:val="Subtitle"/>
    <w:basedOn w:val="1"/>
    <w:next w:val="1"/>
    <w:link w:val="37"/>
    <w:qFormat/>
    <w:uiPriority w:val="0"/>
    <w:pPr>
      <w:spacing w:before="240" w:after="60" w:line="312" w:lineRule="auto"/>
      <w:jc w:val="center"/>
      <w:outlineLvl w:val="1"/>
    </w:pPr>
    <w:rPr>
      <w:rFonts w:ascii="等线 Light" w:hAnsi="等线 Light" w:eastAsiaTheme="minorEastAsia" w:cstheme="minorBidi"/>
      <w:b/>
      <w:bCs/>
      <w:kern w:val="28"/>
      <w:sz w:val="32"/>
      <w:szCs w:val="32"/>
    </w:rPr>
  </w:style>
  <w:style w:type="paragraph" w:styleId="18">
    <w:name w:val="List"/>
    <w:basedOn w:val="1"/>
    <w:qFormat/>
    <w:uiPriority w:val="0"/>
    <w:pPr>
      <w:ind w:left="200" w:hanging="200" w:hangingChars="200"/>
    </w:pPr>
  </w:style>
  <w:style w:type="paragraph" w:styleId="19">
    <w:name w:val="Normal (Web)"/>
    <w:basedOn w:val="1"/>
    <w:link w:val="51"/>
    <w:qFormat/>
    <w:uiPriority w:val="0"/>
    <w:pPr>
      <w:widowControl/>
      <w:spacing w:before="100" w:beforeAutospacing="1" w:after="100" w:afterAutospacing="1"/>
      <w:jc w:val="left"/>
    </w:pPr>
    <w:rPr>
      <w:rFonts w:ascii="宋体" w:hAnsi="宋体" w:cs="宋体"/>
      <w:sz w:val="24"/>
    </w:rPr>
  </w:style>
  <w:style w:type="paragraph" w:styleId="20">
    <w:name w:val="Title"/>
    <w:basedOn w:val="1"/>
    <w:next w:val="1"/>
    <w:link w:val="48"/>
    <w:qFormat/>
    <w:uiPriority w:val="0"/>
    <w:pPr>
      <w:spacing w:before="240" w:after="60"/>
      <w:jc w:val="center"/>
      <w:outlineLvl w:val="0"/>
    </w:pPr>
    <w:rPr>
      <w:rFonts w:ascii="Calibri Light" w:hAnsi="Calibri Light" w:eastAsiaTheme="minorEastAsia" w:cstheme="minorBidi"/>
      <w:b/>
      <w:bCs/>
      <w:sz w:val="32"/>
      <w:szCs w:val="32"/>
    </w:rPr>
  </w:style>
  <w:style w:type="paragraph" w:styleId="21">
    <w:name w:val="annotation subject"/>
    <w:basedOn w:val="6"/>
    <w:next w:val="6"/>
    <w:link w:val="54"/>
    <w:qFormat/>
    <w:uiPriority w:val="0"/>
  </w:style>
  <w:style w:type="paragraph" w:styleId="22">
    <w:name w:val="Body Text First Indent"/>
    <w:basedOn w:val="7"/>
    <w:link w:val="72"/>
    <w:qFormat/>
    <w:uiPriority w:val="0"/>
    <w:pPr>
      <w:ind w:firstLine="420" w:firstLineChars="100"/>
    </w:p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5">
    <w:name w:val="Colorful Grid"/>
    <w:basedOn w:val="23"/>
    <w:qFormat/>
    <w:uiPriority w:val="99"/>
    <w:rPr>
      <w:i/>
      <w:iCs/>
      <w:color w:val="000000"/>
      <w:sz w:val="21"/>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rPr>
      <w:tblPr/>
      <w:tcPr>
        <w:shd w:val="clear" w:color="auto" w:fill="999999" w:themeFill="text1" w:themeFillTint="66"/>
      </w:tcPr>
    </w:tblStylePr>
    <w:tblStylePr w:type="firstCol">
      <w:rPr>
        <w:color w:val="FFFFFF"/>
      </w:rPr>
      <w:tblPr/>
      <w:tcPr>
        <w:shd w:val="clear" w:color="auto" w:fill="000000" w:themeFill="text1" w:themeFillShade="BF"/>
      </w:tcPr>
    </w:tblStylePr>
    <w:tblStylePr w:type="lastCol">
      <w:rPr>
        <w:color w:val="FFFFFF"/>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character" w:styleId="27">
    <w:name w:val="Strong"/>
    <w:qFormat/>
    <w:uiPriority w:val="0"/>
    <w:rPr>
      <w:b/>
      <w:bCs/>
    </w:rPr>
  </w:style>
  <w:style w:type="character" w:styleId="28">
    <w:name w:val="page number"/>
    <w:basedOn w:val="26"/>
    <w:qFormat/>
    <w:uiPriority w:val="0"/>
  </w:style>
  <w:style w:type="character" w:styleId="29">
    <w:name w:val="Emphasis"/>
    <w:qFormat/>
    <w:uiPriority w:val="20"/>
    <w:rPr>
      <w:rFonts w:ascii="Verdana" w:hAnsi="Verdana" w:eastAsia="仿宋_GB2312"/>
      <w:color w:val="CC0000"/>
      <w:kern w:val="0"/>
      <w:sz w:val="24"/>
      <w:szCs w:val="20"/>
      <w:lang w:eastAsia="en-US"/>
    </w:rPr>
  </w:style>
  <w:style w:type="character" w:styleId="30">
    <w:name w:val="Hyperlink"/>
    <w:qFormat/>
    <w:uiPriority w:val="99"/>
    <w:rPr>
      <w:rFonts w:hint="default" w:ascii="Times New Roman" w:hAnsi="Times New Roman" w:cs="Times New Roman"/>
      <w:color w:val="0000FF"/>
      <w:u w:val="single"/>
    </w:rPr>
  </w:style>
  <w:style w:type="character" w:styleId="31">
    <w:name w:val="annotation reference"/>
    <w:qFormat/>
    <w:uiPriority w:val="0"/>
    <w:rPr>
      <w:sz w:val="21"/>
      <w:szCs w:val="21"/>
    </w:rPr>
  </w:style>
  <w:style w:type="character" w:customStyle="1" w:styleId="32">
    <w:name w:val="标题 1 Char"/>
    <w:basedOn w:val="26"/>
    <w:link w:val="2"/>
    <w:qFormat/>
    <w:uiPriority w:val="1"/>
    <w:rPr>
      <w:rFonts w:ascii="Times New Roman" w:hAnsi="Times New Roman" w:eastAsia="仿宋" w:cs="Times New Roman"/>
      <w:b/>
      <w:bCs/>
      <w:kern w:val="44"/>
      <w:sz w:val="32"/>
      <w:szCs w:val="44"/>
    </w:rPr>
  </w:style>
  <w:style w:type="character" w:customStyle="1" w:styleId="33">
    <w:name w:val="标题 2 Char"/>
    <w:basedOn w:val="26"/>
    <w:link w:val="3"/>
    <w:qFormat/>
    <w:uiPriority w:val="1"/>
    <w:rPr>
      <w:rFonts w:ascii="Calibri Light" w:hAnsi="Calibri Light" w:eastAsia="宋体" w:cs="Times New Roman"/>
      <w:b/>
      <w:bCs/>
      <w:sz w:val="32"/>
      <w:szCs w:val="32"/>
    </w:rPr>
  </w:style>
  <w:style w:type="character" w:customStyle="1" w:styleId="34">
    <w:name w:val="标题 3 Char"/>
    <w:basedOn w:val="26"/>
    <w:link w:val="4"/>
    <w:qFormat/>
    <w:uiPriority w:val="9"/>
    <w:rPr>
      <w:rFonts w:ascii="Times New Roman" w:hAnsi="Times New Roman" w:eastAsia="宋体" w:cs="Times New Roman"/>
      <w:b/>
      <w:bCs/>
      <w:sz w:val="32"/>
      <w:szCs w:val="32"/>
    </w:rPr>
  </w:style>
  <w:style w:type="character" w:customStyle="1" w:styleId="35">
    <w:name w:val="不明显强调1"/>
    <w:qFormat/>
    <w:uiPriority w:val="19"/>
    <w:rPr>
      <w:i/>
      <w:iCs/>
      <w:color w:val="808080"/>
    </w:rPr>
  </w:style>
  <w:style w:type="character" w:customStyle="1" w:styleId="36">
    <w:name w:val="zisiblack2"/>
    <w:qFormat/>
    <w:uiPriority w:val="0"/>
    <w:rPr>
      <w:rFonts w:cs="Times New Roman"/>
    </w:rPr>
  </w:style>
  <w:style w:type="character" w:customStyle="1" w:styleId="37">
    <w:name w:val="副标题 Char1"/>
    <w:link w:val="17"/>
    <w:qFormat/>
    <w:uiPriority w:val="0"/>
    <w:rPr>
      <w:rFonts w:ascii="等线 Light" w:hAnsi="等线 Light"/>
      <w:b/>
      <w:bCs/>
      <w:kern w:val="28"/>
      <w:sz w:val="32"/>
      <w:szCs w:val="32"/>
    </w:rPr>
  </w:style>
  <w:style w:type="character" w:customStyle="1" w:styleId="38">
    <w:name w:val="彩色网格字符"/>
    <w:qFormat/>
    <w:uiPriority w:val="99"/>
    <w:rPr>
      <w:i/>
      <w:iCs/>
      <w:color w:val="000000"/>
      <w:kern w:val="2"/>
      <w:sz w:val="21"/>
      <w:szCs w:val="24"/>
    </w:rPr>
  </w:style>
  <w:style w:type="character" w:customStyle="1" w:styleId="39">
    <w:name w:val="批注文字 Char1"/>
    <w:qFormat/>
    <w:uiPriority w:val="99"/>
    <w:rPr>
      <w:rFonts w:ascii="宋体" w:hAnsi="宋体" w:cs="宋体"/>
      <w:sz w:val="22"/>
      <w:szCs w:val="22"/>
      <w:lang w:eastAsia="en-US"/>
    </w:rPr>
  </w:style>
  <w:style w:type="character" w:customStyle="1" w:styleId="40">
    <w:name w:val="news021"/>
    <w:qFormat/>
    <w:uiPriority w:val="0"/>
    <w:rPr>
      <w:sz w:val="23"/>
      <w:szCs w:val="23"/>
    </w:rPr>
  </w:style>
  <w:style w:type="character" w:customStyle="1" w:styleId="41">
    <w:name w:val="明显强调1"/>
    <w:qFormat/>
    <w:uiPriority w:val="21"/>
    <w:rPr>
      <w:b/>
      <w:bCs/>
      <w:i/>
      <w:iCs/>
      <w:color w:val="5B9BD5"/>
    </w:rPr>
  </w:style>
  <w:style w:type="character" w:customStyle="1" w:styleId="42">
    <w:name w:val="页眉 Char"/>
    <w:link w:val="15"/>
    <w:qFormat/>
    <w:uiPriority w:val="0"/>
    <w:rPr>
      <w:sz w:val="18"/>
      <w:szCs w:val="18"/>
    </w:rPr>
  </w:style>
  <w:style w:type="character" w:customStyle="1" w:styleId="43">
    <w:name w:val="页眉 字符"/>
    <w:qFormat/>
    <w:uiPriority w:val="0"/>
    <w:rPr>
      <w:sz w:val="18"/>
      <w:szCs w:val="18"/>
    </w:rPr>
  </w:style>
  <w:style w:type="character" w:customStyle="1" w:styleId="44">
    <w:name w:val="副标题 字符"/>
    <w:qFormat/>
    <w:uiPriority w:val="0"/>
    <w:rPr>
      <w:rFonts w:ascii="Calibri Light" w:hAnsi="Calibri Light" w:eastAsia="宋体" w:cs="Times New Roman"/>
      <w:b/>
      <w:bCs/>
      <w:kern w:val="28"/>
      <w:sz w:val="32"/>
      <w:szCs w:val="32"/>
    </w:rPr>
  </w:style>
  <w:style w:type="character" w:customStyle="1" w:styleId="45">
    <w:name w:val="gongkai_content_2_title1"/>
    <w:qFormat/>
    <w:uiPriority w:val="0"/>
    <w:rPr>
      <w:rFonts w:hint="eastAsia" w:ascii="黑体" w:eastAsia="黑体"/>
      <w:b/>
      <w:bCs/>
      <w:sz w:val="28"/>
      <w:szCs w:val="28"/>
    </w:rPr>
  </w:style>
  <w:style w:type="character" w:customStyle="1" w:styleId="46">
    <w:name w:val="text1"/>
    <w:qFormat/>
    <w:uiPriority w:val="0"/>
    <w:rPr>
      <w:color w:val="000000"/>
      <w:sz w:val="20"/>
      <w:szCs w:val="20"/>
    </w:rPr>
  </w:style>
  <w:style w:type="character" w:customStyle="1" w:styleId="47">
    <w:name w:val="普通(网站) 字符"/>
    <w:qFormat/>
    <w:uiPriority w:val="99"/>
    <w:rPr>
      <w:rFonts w:ascii="宋体" w:hAnsi="宋体" w:cs="宋体"/>
      <w:sz w:val="24"/>
      <w:szCs w:val="24"/>
    </w:rPr>
  </w:style>
  <w:style w:type="character" w:customStyle="1" w:styleId="48">
    <w:name w:val="标题 Char"/>
    <w:link w:val="20"/>
    <w:qFormat/>
    <w:uiPriority w:val="0"/>
    <w:rPr>
      <w:rFonts w:ascii="Calibri Light" w:hAnsi="Calibri Light"/>
      <w:b/>
      <w:bCs/>
      <w:sz w:val="32"/>
      <w:szCs w:val="32"/>
    </w:rPr>
  </w:style>
  <w:style w:type="character" w:customStyle="1" w:styleId="49">
    <w:name w:val="Internet 链接"/>
    <w:qFormat/>
    <w:uiPriority w:val="0"/>
    <w:rPr>
      <w:rFonts w:cs="Times New Roman"/>
      <w:color w:val="0000FF"/>
      <w:u w:val="single"/>
    </w:rPr>
  </w:style>
  <w:style w:type="character" w:customStyle="1" w:styleId="50">
    <w:name w:val="页脚 Char"/>
    <w:link w:val="14"/>
    <w:qFormat/>
    <w:uiPriority w:val="99"/>
    <w:rPr>
      <w:sz w:val="18"/>
      <w:szCs w:val="18"/>
    </w:rPr>
  </w:style>
  <w:style w:type="character" w:customStyle="1" w:styleId="51">
    <w:name w:val="普通(网站) Char"/>
    <w:link w:val="19"/>
    <w:qFormat/>
    <w:uiPriority w:val="0"/>
    <w:rPr>
      <w:rFonts w:ascii="宋体" w:hAnsi="宋体" w:eastAsia="宋体" w:cs="宋体"/>
    </w:rPr>
  </w:style>
  <w:style w:type="character" w:customStyle="1" w:styleId="52">
    <w:name w:val="批注文字 Char"/>
    <w:link w:val="6"/>
    <w:qFormat/>
    <w:uiPriority w:val="0"/>
    <w:rPr>
      <w:rFonts w:ascii="Calibri" w:hAnsi="Calibri"/>
      <w:sz w:val="21"/>
      <w:szCs w:val="22"/>
    </w:rPr>
  </w:style>
  <w:style w:type="character" w:customStyle="1" w:styleId="53">
    <w:name w:val="批注文字 字符"/>
    <w:qFormat/>
    <w:uiPriority w:val="0"/>
  </w:style>
  <w:style w:type="character" w:customStyle="1" w:styleId="54">
    <w:name w:val="批注主题 Char"/>
    <w:link w:val="21"/>
    <w:qFormat/>
    <w:uiPriority w:val="0"/>
    <w:rPr>
      <w:rFonts w:ascii="Calibri" w:hAnsi="Calibri"/>
      <w:sz w:val="21"/>
      <w:szCs w:val="22"/>
    </w:rPr>
  </w:style>
  <w:style w:type="character" w:customStyle="1" w:styleId="55">
    <w:name w:val="apple-style-span"/>
    <w:basedOn w:val="26"/>
    <w:qFormat/>
    <w:uiPriority w:val="0"/>
  </w:style>
  <w:style w:type="character" w:customStyle="1" w:styleId="56">
    <w:name w:val="副标题 Char"/>
    <w:qFormat/>
    <w:uiPriority w:val="0"/>
    <w:rPr>
      <w:rFonts w:ascii="Calibri Light" w:hAnsi="Calibri Light" w:cs="Times New Roman"/>
      <w:b/>
      <w:bCs/>
      <w:kern w:val="28"/>
      <w:sz w:val="32"/>
      <w:szCs w:val="32"/>
    </w:rPr>
  </w:style>
  <w:style w:type="character" w:customStyle="1" w:styleId="57">
    <w:name w:val="纯文本 Char"/>
    <w:link w:val="10"/>
    <w:qFormat/>
    <w:uiPriority w:val="0"/>
    <w:rPr>
      <w:rFonts w:ascii="宋体" w:hAnsi="宋体"/>
    </w:rPr>
  </w:style>
  <w:style w:type="character" w:customStyle="1" w:styleId="58">
    <w:name w:val="批注框文本 Char"/>
    <w:link w:val="13"/>
    <w:qFormat/>
    <w:uiPriority w:val="0"/>
    <w:rPr>
      <w:sz w:val="18"/>
      <w:szCs w:val="18"/>
    </w:rPr>
  </w:style>
  <w:style w:type="character" w:customStyle="1" w:styleId="59">
    <w:name w:val="正文文本 Char"/>
    <w:link w:val="7"/>
    <w:qFormat/>
    <w:uiPriority w:val="1"/>
    <w:rPr>
      <w:sz w:val="21"/>
    </w:rPr>
  </w:style>
  <w:style w:type="character" w:customStyle="1" w:styleId="60">
    <w:name w:val="批注主题 字符"/>
    <w:qFormat/>
    <w:uiPriority w:val="0"/>
    <w:rPr>
      <w:rFonts w:ascii="Times New Roman" w:hAnsi="Times New Roman" w:eastAsia="宋体" w:cs="Times New Roman"/>
      <w:b/>
      <w:bCs/>
      <w:kern w:val="0"/>
      <w:sz w:val="20"/>
      <w:szCs w:val="20"/>
    </w:rPr>
  </w:style>
  <w:style w:type="character" w:customStyle="1" w:styleId="61">
    <w:name w:val="apple-converted-space"/>
    <w:qFormat/>
    <w:uiPriority w:val="0"/>
  </w:style>
  <w:style w:type="character" w:customStyle="1" w:styleId="62">
    <w:name w:val="日期 Char"/>
    <w:basedOn w:val="26"/>
    <w:link w:val="11"/>
    <w:qFormat/>
    <w:uiPriority w:val="0"/>
    <w:rPr>
      <w:rFonts w:ascii="Times New Roman" w:hAnsi="Times New Roman" w:eastAsia="宋体" w:cs="Times New Roman"/>
      <w:sz w:val="21"/>
    </w:rPr>
  </w:style>
  <w:style w:type="character" w:customStyle="1" w:styleId="63">
    <w:name w:val="正文文本缩进 Char"/>
    <w:basedOn w:val="26"/>
    <w:link w:val="8"/>
    <w:qFormat/>
    <w:uiPriority w:val="0"/>
    <w:rPr>
      <w:rFonts w:ascii="Times New Roman" w:hAnsi="Times New Roman" w:eastAsia="宋体" w:cs="Times New Roman"/>
      <w:sz w:val="21"/>
    </w:rPr>
  </w:style>
  <w:style w:type="character" w:customStyle="1" w:styleId="64">
    <w:name w:val="标题字符1"/>
    <w:basedOn w:val="26"/>
    <w:qFormat/>
    <w:uiPriority w:val="10"/>
    <w:rPr>
      <w:rFonts w:eastAsia="宋体" w:asciiTheme="majorHAnsi" w:hAnsiTheme="majorHAnsi" w:cstheme="majorBidi"/>
      <w:b/>
      <w:bCs/>
      <w:sz w:val="32"/>
      <w:szCs w:val="32"/>
    </w:rPr>
  </w:style>
  <w:style w:type="character" w:customStyle="1" w:styleId="65">
    <w:name w:val="页脚字符1"/>
    <w:basedOn w:val="26"/>
    <w:semiHidden/>
    <w:qFormat/>
    <w:uiPriority w:val="99"/>
    <w:rPr>
      <w:rFonts w:ascii="Times New Roman" w:hAnsi="Times New Roman" w:eastAsia="宋体" w:cs="Times New Roman"/>
      <w:sz w:val="18"/>
      <w:szCs w:val="18"/>
    </w:rPr>
  </w:style>
  <w:style w:type="character" w:customStyle="1" w:styleId="66">
    <w:name w:val="正文文本字符1"/>
    <w:basedOn w:val="26"/>
    <w:semiHidden/>
    <w:qFormat/>
    <w:uiPriority w:val="99"/>
    <w:rPr>
      <w:rFonts w:ascii="Times New Roman" w:hAnsi="Times New Roman" w:eastAsia="宋体" w:cs="Times New Roman"/>
      <w:sz w:val="21"/>
    </w:rPr>
  </w:style>
  <w:style w:type="character" w:customStyle="1" w:styleId="67">
    <w:name w:val="副标题字符1"/>
    <w:basedOn w:val="26"/>
    <w:qFormat/>
    <w:uiPriority w:val="11"/>
    <w:rPr>
      <w:rFonts w:eastAsia="宋体" w:asciiTheme="majorHAnsi" w:hAnsiTheme="majorHAnsi" w:cstheme="majorBidi"/>
      <w:b/>
      <w:bCs/>
      <w:kern w:val="28"/>
      <w:sz w:val="32"/>
      <w:szCs w:val="32"/>
    </w:rPr>
  </w:style>
  <w:style w:type="character" w:customStyle="1" w:styleId="68">
    <w:name w:val="正文文本缩进 2 Char"/>
    <w:basedOn w:val="26"/>
    <w:link w:val="12"/>
    <w:qFormat/>
    <w:uiPriority w:val="0"/>
    <w:rPr>
      <w:rFonts w:ascii="Times New Roman" w:hAnsi="Times New Roman" w:eastAsia="宋体" w:cs="Times New Roman"/>
      <w:sz w:val="21"/>
    </w:rPr>
  </w:style>
  <w:style w:type="character" w:customStyle="1" w:styleId="69">
    <w:name w:val="注释文本字符1"/>
    <w:basedOn w:val="26"/>
    <w:semiHidden/>
    <w:qFormat/>
    <w:uiPriority w:val="99"/>
    <w:rPr>
      <w:rFonts w:ascii="Times New Roman" w:hAnsi="Times New Roman" w:eastAsia="宋体" w:cs="Times New Roman"/>
      <w:sz w:val="21"/>
    </w:rPr>
  </w:style>
  <w:style w:type="character" w:customStyle="1" w:styleId="70">
    <w:name w:val="批注框文本字符1"/>
    <w:basedOn w:val="26"/>
    <w:semiHidden/>
    <w:qFormat/>
    <w:uiPriority w:val="99"/>
    <w:rPr>
      <w:rFonts w:ascii="Heiti SC Light" w:hAnsi="Times New Roman" w:eastAsia="Heiti SC Light" w:cs="Times New Roman"/>
      <w:sz w:val="18"/>
      <w:szCs w:val="18"/>
    </w:rPr>
  </w:style>
  <w:style w:type="character" w:customStyle="1" w:styleId="71">
    <w:name w:val="纯文本字符1"/>
    <w:basedOn w:val="26"/>
    <w:semiHidden/>
    <w:qFormat/>
    <w:uiPriority w:val="99"/>
    <w:rPr>
      <w:rFonts w:ascii="宋体" w:hAnsi="Courier" w:eastAsia="宋体" w:cs="Times New Roman"/>
    </w:rPr>
  </w:style>
  <w:style w:type="character" w:customStyle="1" w:styleId="72">
    <w:name w:val="正文首行缩进 Char"/>
    <w:basedOn w:val="66"/>
    <w:link w:val="22"/>
    <w:qFormat/>
    <w:uiPriority w:val="0"/>
    <w:rPr>
      <w:rFonts w:ascii="Times New Roman" w:hAnsi="Times New Roman" w:eastAsia="宋体" w:cs="Times New Roman"/>
      <w:sz w:val="21"/>
    </w:rPr>
  </w:style>
  <w:style w:type="character" w:customStyle="1" w:styleId="73">
    <w:name w:val="批注主题字符1"/>
    <w:basedOn w:val="69"/>
    <w:semiHidden/>
    <w:qFormat/>
    <w:uiPriority w:val="99"/>
    <w:rPr>
      <w:rFonts w:ascii="Times New Roman" w:hAnsi="Times New Roman" w:eastAsia="宋体" w:cs="Times New Roman"/>
      <w:b/>
      <w:bCs/>
      <w:sz w:val="21"/>
    </w:rPr>
  </w:style>
  <w:style w:type="character" w:customStyle="1" w:styleId="74">
    <w:name w:val="页眉字符1"/>
    <w:basedOn w:val="26"/>
    <w:semiHidden/>
    <w:qFormat/>
    <w:uiPriority w:val="99"/>
    <w:rPr>
      <w:rFonts w:ascii="Times New Roman" w:hAnsi="Times New Roman" w:eastAsia="宋体" w:cs="Times New Roman"/>
      <w:sz w:val="18"/>
      <w:szCs w:val="18"/>
    </w:rPr>
  </w:style>
  <w:style w:type="paragraph" w:customStyle="1" w:styleId="75">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
    <w:name w:val="教育部3"/>
    <w:basedOn w:val="1"/>
    <w:qFormat/>
    <w:uiPriority w:val="0"/>
    <w:pPr>
      <w:widowControl/>
      <w:spacing w:line="440" w:lineRule="exact"/>
      <w:jc w:val="center"/>
    </w:pPr>
    <w:rPr>
      <w:rFonts w:ascii="方正小标宋_GBK" w:eastAsia="方正小标宋_GBK"/>
      <w:bCs/>
      <w:kern w:val="0"/>
      <w:sz w:val="32"/>
      <w:szCs w:val="21"/>
    </w:rPr>
  </w:style>
  <w:style w:type="paragraph" w:customStyle="1" w:styleId="77">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78">
    <w:name w:val="Char6 Char Char Char"/>
    <w:basedOn w:val="1"/>
    <w:qFormat/>
    <w:uiPriority w:val="0"/>
    <w:rPr>
      <w:rFonts w:ascii="Tahoma" w:hAnsi="Tahoma"/>
      <w:sz w:val="28"/>
      <w:szCs w:val="20"/>
    </w:rPr>
  </w:style>
  <w:style w:type="paragraph" w:customStyle="1" w:styleId="79">
    <w:name w:val="p15"/>
    <w:basedOn w:val="1"/>
    <w:qFormat/>
    <w:uiPriority w:val="0"/>
    <w:pPr>
      <w:widowControl/>
    </w:pPr>
    <w:rPr>
      <w:rFonts w:ascii="Arial" w:hAnsi="Arial" w:cs="Arial"/>
      <w:color w:val="000000"/>
      <w:kern w:val="0"/>
      <w:sz w:val="32"/>
      <w:szCs w:val="32"/>
    </w:rPr>
  </w:style>
  <w:style w:type="paragraph" w:customStyle="1" w:styleId="80">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1">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82">
    <w:name w:val="缩进"/>
    <w:basedOn w:val="1"/>
    <w:qFormat/>
    <w:uiPriority w:val="0"/>
    <w:pPr>
      <w:ind w:firstLine="200" w:firstLineChars="200"/>
    </w:pPr>
  </w:style>
  <w:style w:type="paragraph" w:customStyle="1" w:styleId="83">
    <w:name w:val="Char Char3"/>
    <w:basedOn w:val="1"/>
    <w:qFormat/>
    <w:uiPriority w:val="0"/>
    <w:rPr>
      <w:szCs w:val="20"/>
    </w:rPr>
  </w:style>
  <w:style w:type="paragraph" w:customStyle="1" w:styleId="84">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85">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8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87">
    <w:name w:val="Char"/>
    <w:basedOn w:val="1"/>
    <w:qFormat/>
    <w:uiPriority w:val="0"/>
    <w:rPr>
      <w:szCs w:val="20"/>
    </w:rPr>
  </w:style>
  <w:style w:type="paragraph" w:customStyle="1" w:styleId="88">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89">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90">
    <w:name w:val="Char Char Char Char1"/>
    <w:basedOn w:val="1"/>
    <w:qFormat/>
    <w:uiPriority w:val="0"/>
    <w:pPr>
      <w:ind w:firstLine="540" w:firstLineChars="225"/>
    </w:pPr>
    <w:rPr>
      <w:szCs w:val="20"/>
    </w:rPr>
  </w:style>
  <w:style w:type="paragraph" w:customStyle="1" w:styleId="91">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92">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3">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4">
    <w:name w:val="_Style 38"/>
    <w:basedOn w:val="1"/>
    <w:qFormat/>
    <w:uiPriority w:val="0"/>
    <w:rPr>
      <w:szCs w:val="20"/>
    </w:rPr>
  </w:style>
  <w:style w:type="paragraph" w:customStyle="1" w:styleId="95">
    <w:name w:val="Char6 Char Char Char1"/>
    <w:basedOn w:val="1"/>
    <w:qFormat/>
    <w:uiPriority w:val="0"/>
    <w:rPr>
      <w:rFonts w:ascii="Tahoma" w:hAnsi="Tahoma"/>
      <w:sz w:val="28"/>
      <w:szCs w:val="20"/>
    </w:rPr>
  </w:style>
  <w:style w:type="paragraph" w:customStyle="1" w:styleId="96">
    <w:name w:val="_Style 24"/>
    <w:basedOn w:val="1"/>
    <w:qFormat/>
    <w:uiPriority w:val="0"/>
    <w:rPr>
      <w:szCs w:val="20"/>
    </w:rPr>
  </w:style>
  <w:style w:type="paragraph" w:customStyle="1" w:styleId="97">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8">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2525</Words>
  <Characters>14397</Characters>
  <Lines>119</Lines>
  <Paragraphs>33</Paragraphs>
  <TotalTime>2</TotalTime>
  <ScaleCrop>false</ScaleCrop>
  <LinksUpToDate>false</LinksUpToDate>
  <CharactersWithSpaces>16889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2020-03-07T02:33:00Z</dcterms:created>
  <dc:creator>apple apple</dc:creator>
  <cp:lastModifiedBy>oasis</cp:lastModifiedBy>
  <dcterms:modified xsi:type="dcterms:W3CDTF">2021-02-17T10:31:20Z</dcterms:modified>
  <cp:revision>470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