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Fonts w:ascii="Times New Roman" w:hAnsi="Times New Roman" w:eastAsia="黑体"/>
          <w:color w:val="auto"/>
          <w:sz w:val="36"/>
          <w:szCs w:val="36"/>
        </w:rPr>
      </w:pPr>
      <w:bookmarkStart w:id="0" w:name="_GoBack"/>
      <w:r>
        <w:rPr>
          <w:rFonts w:ascii="Times New Roman" w:hAnsi="Times New Roman" w:eastAsia="黑体"/>
          <w:color w:val="auto"/>
          <w:sz w:val="36"/>
          <w:szCs w:val="36"/>
        </w:rPr>
        <w:t>农业电气化专业人才培养方案</w:t>
      </w:r>
    </w:p>
    <w:p>
      <w:pPr>
        <w:adjustRightInd w:val="0"/>
        <w:snapToGrid w:val="0"/>
        <w:spacing w:line="360" w:lineRule="auto"/>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一、专业名称(中英文)与专业代码</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专业名称：农业电气化</w:t>
      </w:r>
      <w:r>
        <w:rPr>
          <w:rFonts w:ascii="Times New Roman" w:hAnsi="Times New Roman" w:eastAsia="仿宋_GB2312"/>
          <w:color w:val="auto"/>
          <w:sz w:val="24"/>
          <w:szCs w:val="24"/>
          <w:shd w:val="clear" w:color="auto" w:fill="FFFFFF"/>
        </w:rPr>
        <w:t>Agricultural electrification</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专业代码：082303</w:t>
      </w:r>
    </w:p>
    <w:p>
      <w:pPr>
        <w:adjustRightInd w:val="0"/>
        <w:snapToGrid w:val="0"/>
        <w:spacing w:line="360" w:lineRule="auto"/>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二、培养目标</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培养德、智、体、美、劳全面发展，对国家和社会具有高度责任感，了解农业工程、电气工程、自动化和信息化工程领域发展动态和问题，掌握数学与自然科学基础知识、工程基础知识、专业知识和实践技能，具有良好的专业能力、实践能力、学习能力，具备良好的科学、文化素养，具备较强的工作适应能力及创新精神的社会主义事业合格建设者和可靠接班人，能够在电气工程、自动化、电子信息、数字农业、智能农业装备等领域从事理论研究、工程设计、施工管理、新产品开发等方面工作的应用型高级工程技术人才。</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毕业生在毕业后5 年左右应能够达到：</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目标 1</w:t>
      </w:r>
      <w:r>
        <w:rPr>
          <w:rFonts w:ascii="Times New Roman" w:hAnsi="Times New Roman" w:eastAsia="仿宋_GB2312"/>
          <w:color w:val="auto"/>
          <w:sz w:val="24"/>
          <w:szCs w:val="24"/>
        </w:rPr>
        <w:t>：具有健全的人格和良好的人文素养与品德修养；</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目标 2</w:t>
      </w:r>
      <w:r>
        <w:rPr>
          <w:rFonts w:ascii="Times New Roman" w:hAnsi="Times New Roman" w:eastAsia="仿宋_GB2312"/>
          <w:color w:val="auto"/>
          <w:sz w:val="24"/>
          <w:szCs w:val="24"/>
        </w:rPr>
        <w:t>：具有宽广的自然科学基础、扎实的农业电气化与自动化专业基础和专业技能；</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目标 3</w:t>
      </w:r>
      <w:r>
        <w:rPr>
          <w:rFonts w:ascii="Times New Roman" w:hAnsi="Times New Roman" w:eastAsia="仿宋_GB2312"/>
          <w:color w:val="auto"/>
          <w:sz w:val="24"/>
          <w:szCs w:val="24"/>
        </w:rPr>
        <w:t>：富于创新精神，具有工程实践和解决复杂工程问题的能力；</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目标 4</w:t>
      </w:r>
      <w:r>
        <w:rPr>
          <w:rFonts w:ascii="Times New Roman" w:hAnsi="Times New Roman" w:eastAsia="仿宋_GB2312"/>
          <w:color w:val="auto"/>
          <w:sz w:val="24"/>
          <w:szCs w:val="24"/>
        </w:rPr>
        <w:t>：具有交流与团队合作能力；</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目标 5</w:t>
      </w:r>
      <w:r>
        <w:rPr>
          <w:rFonts w:ascii="Times New Roman" w:hAnsi="Times New Roman" w:eastAsia="仿宋_GB2312"/>
          <w:color w:val="auto"/>
          <w:sz w:val="24"/>
          <w:szCs w:val="24"/>
        </w:rPr>
        <w:t>：能够在农业电气化与自动化相关领域胜任技术负责和工程管理职务。</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专业培养特色</w:t>
      </w:r>
      <w:r>
        <w:rPr>
          <w:rFonts w:ascii="Times New Roman" w:hAnsi="Times New Roman" w:eastAsia="仿宋_GB2312"/>
          <w:color w:val="auto"/>
          <w:sz w:val="24"/>
          <w:szCs w:val="24"/>
        </w:rPr>
        <w:t>：</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农业电气化是一个宽口径、多学科交叉的专业，适应领域以农业工程为主，兼顾电气工程、自动化和信息化工程等。本专业毕业生所学知识丰富，几乎涵盖了电气电子信息类专业的主要基础知识。课程体系融入现代</w:t>
      </w:r>
      <w:r>
        <w:rPr>
          <w:rFonts w:ascii="Times New Roman" w:hAnsi="Times New Roman" w:eastAsia="仿宋_GB2312"/>
          <w:b/>
          <w:bCs/>
          <w:color w:val="auto"/>
          <w:sz w:val="24"/>
          <w:szCs w:val="24"/>
        </w:rPr>
        <w:t>生物技术、信息技术、人工智能技术、工程技术和管理科学</w:t>
      </w:r>
      <w:r>
        <w:rPr>
          <w:rFonts w:ascii="Times New Roman" w:hAnsi="Times New Roman" w:eastAsia="仿宋_GB2312"/>
          <w:color w:val="auto"/>
          <w:sz w:val="24"/>
          <w:szCs w:val="24"/>
        </w:rPr>
        <w:t>等多学科领域知识，对学生的培养要求更高、需要学习内容更广泛。因此本专业就业面广，适应性强，未来的发展空间广阔。</w:t>
      </w:r>
    </w:p>
    <w:p>
      <w:pPr>
        <w:adjustRightInd w:val="0"/>
        <w:snapToGrid w:val="0"/>
        <w:spacing w:line="360" w:lineRule="auto"/>
        <w:ind w:firstLine="482" w:firstLineChars="200"/>
        <w:rPr>
          <w:rFonts w:ascii="Times New Roman" w:hAnsi="Times New Roman" w:eastAsia="仿宋_GB2312"/>
          <w:color w:val="auto"/>
          <w:sz w:val="28"/>
          <w:szCs w:val="28"/>
        </w:rPr>
      </w:pPr>
      <w:r>
        <w:rPr>
          <w:rFonts w:ascii="Times New Roman" w:hAnsi="Times New Roman" w:eastAsia="仿宋_GB2312"/>
          <w:b/>
          <w:bCs/>
          <w:color w:val="auto"/>
          <w:sz w:val="24"/>
          <w:szCs w:val="24"/>
        </w:rPr>
        <w:t>特色：</w:t>
      </w:r>
      <w:r>
        <w:rPr>
          <w:rFonts w:ascii="Times New Roman" w:hAnsi="Times New Roman" w:eastAsia="仿宋_GB2312"/>
          <w:color w:val="auto"/>
          <w:sz w:val="24"/>
          <w:szCs w:val="24"/>
        </w:rPr>
        <w:t>专业培养目标以应用为本；专业以需求为导向；课程体系以能力为本位；</w:t>
      </w:r>
      <w:r>
        <w:rPr>
          <w:rFonts w:ascii="Times New Roman" w:hAnsi="Times New Roman" w:eastAsia="仿宋_GB2312"/>
          <w:b/>
          <w:bCs/>
          <w:color w:val="auto"/>
          <w:sz w:val="24"/>
          <w:szCs w:val="24"/>
        </w:rPr>
        <w:t>加强基础、强化实践</w:t>
      </w:r>
      <w:r>
        <w:rPr>
          <w:rFonts w:ascii="Times New Roman" w:hAnsi="Times New Roman" w:eastAsia="仿宋_GB2312"/>
          <w:color w:val="auto"/>
          <w:sz w:val="24"/>
          <w:szCs w:val="24"/>
        </w:rPr>
        <w:t>；</w:t>
      </w:r>
      <w:r>
        <w:rPr>
          <w:rFonts w:ascii="Times New Roman" w:hAnsi="Times New Roman" w:eastAsia="仿宋_GB2312"/>
          <w:b/>
          <w:bCs/>
          <w:color w:val="auto"/>
          <w:sz w:val="24"/>
          <w:szCs w:val="24"/>
        </w:rPr>
        <w:t>以赛促学，交叉融合。</w:t>
      </w:r>
    </w:p>
    <w:p>
      <w:pPr>
        <w:adjustRightInd w:val="0"/>
        <w:snapToGrid w:val="0"/>
        <w:spacing w:line="360" w:lineRule="auto"/>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三、毕业要求</w:t>
      </w:r>
    </w:p>
    <w:p>
      <w:pPr>
        <w:adjustRightInd w:val="0"/>
        <w:snapToGrid w:val="0"/>
        <w:spacing w:line="360" w:lineRule="auto"/>
        <w:ind w:firstLine="482" w:firstLineChars="200"/>
        <w:rPr>
          <w:rFonts w:ascii="Times New Roman" w:hAnsi="Times New Roman" w:eastAsia="仿宋_GB2312"/>
          <w:b/>
          <w:color w:val="auto"/>
          <w:sz w:val="24"/>
          <w:szCs w:val="24"/>
        </w:rPr>
      </w:pPr>
      <w:r>
        <w:rPr>
          <w:rFonts w:ascii="Times New Roman" w:hAnsi="Times New Roman" w:eastAsia="仿宋_GB2312"/>
          <w:b/>
          <w:color w:val="auto"/>
          <w:sz w:val="24"/>
          <w:szCs w:val="24"/>
        </w:rPr>
        <w:t>（一）专业毕业基本要求</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本专业毕业要求如下：</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1工程知识：</w:t>
      </w:r>
      <w:r>
        <w:rPr>
          <w:rFonts w:ascii="Times New Roman" w:hAnsi="Times New Roman" w:eastAsia="仿宋_GB2312"/>
          <w:color w:val="auto"/>
          <w:sz w:val="24"/>
          <w:szCs w:val="24"/>
        </w:rPr>
        <w:t>能够将数学、自然科学、工程基础和专业知识用于解决农业电气化与自动化领域复杂工程问题。</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1-1能将数学、自然科学、工程科学的语言工具用于复杂农业电气化与自动化工程问题的表述，并能针对具体的对象建立数学模型并求解；</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1-2能够将数学知识、自然科学知识、工程基础知识、专业基础知识和专业知识等相关知识和数学模型方法用于推演、分析复杂农业电气化与自动化专业工程问题；</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1-3 能够将数学知识、自然科学知识、工程基础知识、专业基础知识和专业知识等相关知识和数学模型方法用于复杂农业电气化与自动化专业工程问题解决方案的比较与综合。</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2问题分析：</w:t>
      </w:r>
      <w:r>
        <w:rPr>
          <w:rFonts w:ascii="Times New Roman" w:hAnsi="Times New Roman" w:eastAsia="仿宋_GB2312"/>
          <w:color w:val="auto"/>
          <w:sz w:val="24"/>
          <w:szCs w:val="24"/>
        </w:rPr>
        <w:t>能够应用数学、自然科学和工程科学的基本原理，对农业电气化与自动化领域复杂工程问题进行识别、建模和分析。通过文献分析研究对农业电气化与自动化领域的复杂工程问题进行表达、模拟，提出解决方案，获得有效结论。</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2-1 能运用相关科学原理，识别和判断复杂农业电气化与自动化工程问题的关键环节，基于相关科学原理和数学模型方法正确表达复杂农业电气化与自动化工程问题；</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2-2 能够通过文献研究寻求工程问题的多种解决方案，并能够对多种方案进行评价；</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2-3 能运用基本原理，借助文献研究，分析过程的影响因素，正确表述一个电气工程问题解决方案，并获得有效结论。</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3设计/开发解决方案</w:t>
      </w:r>
      <w:r>
        <w:rPr>
          <w:rFonts w:ascii="Times New Roman" w:hAnsi="Times New Roman" w:eastAsia="仿宋_GB2312"/>
          <w:color w:val="auto"/>
          <w:sz w:val="24"/>
          <w:szCs w:val="24"/>
        </w:rPr>
        <w:t>：能够设计针对农业电气化与自动化领域复杂工程问题的解决方案，设计/开发满足特定需求的自动化系统，并能够在设计环节中体现创新意识，考虑社会、健康、安全、法律、文化以及环境等因素。</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3-1 能够对复杂农业电气化与自动化专业工程问题进行分析，并设计解决方案；</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3-2 能够在社会、健康、安全、法律、文化及环境等因素的约束下对研发方案的可行性进行评价；</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3-3 能够设计满足特定需求的电气系统或者部件，并体现创新意识；</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3-4 能够使用图纸、报告、论文或实物等形式，呈现复杂农业电气化与自动化系统的设计结果和解决方案。</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4研究</w:t>
      </w:r>
      <w:r>
        <w:rPr>
          <w:rFonts w:ascii="Times New Roman" w:hAnsi="Times New Roman" w:eastAsia="仿宋_GB2312"/>
          <w:color w:val="auto"/>
          <w:sz w:val="24"/>
          <w:szCs w:val="24"/>
        </w:rPr>
        <w:t>：能够基于科学原理并采用科学方法对农业电气化与自动化领域复杂工程问题进行研究，包括设计实验方案、构建实验系统、开展实验工作、分析与解释数据，并通过信息综合得到合理有效的结论。</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4-1 能够基于科学原理，通过文献研究或相关方法，调研和设计复杂电气工程问题的解决方案，根据对象特征，选择研究路线，针对复杂农业电气化与自动化工程问题设计合理的实验方案；</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4-2 能够应用农业电气化与自动化工程相关理论和方法，正确选用或搭建实验装置，采用设计的实验方案，安全开展实验；</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4-3 能够正确采集数据，并对实验结果进行分析，获得有效结论。</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5使用现代工具</w:t>
      </w:r>
      <w:r>
        <w:rPr>
          <w:rFonts w:ascii="Times New Roman" w:hAnsi="Times New Roman" w:eastAsia="仿宋_GB2312"/>
          <w:color w:val="auto"/>
          <w:sz w:val="24"/>
          <w:szCs w:val="24"/>
        </w:rPr>
        <w:t>：能够针对农业电气化与自动化领域复杂工程问题，开发、选择与使用恰当的技术、资源、现代工程工具和信息技术工具，包括对农业电气化与自动化领域复杂工程问题的预测与模拟，并能够理解其局限性。</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5-1 了解专业常用的现代仪器、信息技术工具、工程工具和模拟软件的使用原理和方法，并理解其局限性；</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5-2 能够选择与使用恰当的仪器、信息资源、工程工具和专业模拟软件，对复杂农业电气化与自动化工程问题进行分析、计算与设计；</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5-3 能够针对具体的对象，开发或选用满足特定需求的现代工具，模拟和预测专业问题，并能够分析其局限性。</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6工程与社会</w:t>
      </w:r>
      <w:r>
        <w:rPr>
          <w:rFonts w:ascii="Times New Roman" w:hAnsi="Times New Roman" w:eastAsia="仿宋_GB2312"/>
          <w:color w:val="auto"/>
          <w:sz w:val="24"/>
          <w:szCs w:val="24"/>
        </w:rPr>
        <w:t>：了解国家和地方涉及农业电气化领域的政策、法律法规、知识产权和技术标准体系，能够基于工程相关背景知识进行合理分析，客观评价专业工程实践和领域复杂工程问题解决方案对社会、健康、安全、法律以及文化的影响，并理解应承担的责任。</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6-1 了解农业电气化与自动化专业相关领域的技术标准体系、知识产权、产业政策和法律法规，理解不同社会文化对电气工程活动的影响；</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6-2 能分析和评价农业电气化与自动化专业工程实践对社会、健康、安全、法律、文化的影响，以及这些制约因素对项目实施的影响，并理解应承担的责任。</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7环境和可持续发展</w:t>
      </w:r>
      <w:r>
        <w:rPr>
          <w:rFonts w:ascii="Times New Roman" w:hAnsi="Times New Roman" w:eastAsia="仿宋_GB2312"/>
          <w:color w:val="auto"/>
          <w:sz w:val="24"/>
          <w:szCs w:val="24"/>
        </w:rPr>
        <w:t>：具有节约资源、保护环境的意识，掌握一定的职业健康安全、环境的法律法规，能够理解和评价针对农业电气化与自动化领域复杂工程问题的工程实践对环境、社会可持续发展的影响。</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7-1 知晓和理解环境保护和可持续发展的理念和内涵；</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7-2 能够站在环境保护和可持续发展的角度思考农业电气化与自动化专业工程实践的可持续性，评价产品周期中可能对人类和环境造成的损害和隐患。</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8职业规范</w:t>
      </w:r>
      <w:r>
        <w:rPr>
          <w:rFonts w:ascii="Times New Roman" w:hAnsi="Times New Roman" w:eastAsia="仿宋_GB2312"/>
          <w:color w:val="auto"/>
          <w:sz w:val="24"/>
          <w:szCs w:val="24"/>
        </w:rPr>
        <w:t>：具有人文社会科学素养、社会责任感，能够在工程实践中理解并遵守工程职业道德和规范，履行责任。</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8-1 具有正确的世界观、人生观和价值观，坚持立德树人，树立和践行社会主义核心价值观，具有良好的人文社会科学素养。理解个人与社会的关系，了解中国国情；</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8-2 理解农业电气化与自动化工程师的职业及社会责任，能够在工程实践中理解并遵守工程职业道德和规范，履行责任。</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9个人和团队</w:t>
      </w:r>
      <w:r>
        <w:rPr>
          <w:rFonts w:ascii="Times New Roman" w:hAnsi="Times New Roman" w:eastAsia="仿宋_GB2312"/>
          <w:color w:val="auto"/>
          <w:sz w:val="24"/>
          <w:szCs w:val="24"/>
        </w:rPr>
        <w:t>：能够在多学科背景下的团队中承担个体、团队成员以及负责人的角色。</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9-1 能够正确认识和处理个人和团队的关系，在多学科背景下的团队中能与其他学科的成员有效沟通，合作共事；</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9-2 能够在团队中独立或与团队成员协作完成团队分配的任务，能够组织、协调和指挥团队开展工作。</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10沟通</w:t>
      </w:r>
      <w:r>
        <w:rPr>
          <w:rFonts w:ascii="Times New Roman" w:hAnsi="Times New Roman" w:eastAsia="仿宋_GB2312"/>
          <w:color w:val="auto"/>
          <w:sz w:val="24"/>
          <w:szCs w:val="24"/>
        </w:rPr>
        <w:t>：能够就专业领域复杂工程问题与业界同行及社会公众进行有效沟通和交流，包括撰写报告和设计文稿、陈述发言、清晰表达或回应指令，并具备一定的国际视野，能够在跨文化背景下进行沟通和交流。</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10-1 能就农业电气化与自动化专业问题，以口头、文稿、图表等方式，准确表达自己的观点，回应质疑，理解与业界同行和社会公众交流的差异性；</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10-2 了解农业电气化与自动化专业领域的国际发展趋势、研究热点，理解和尊重世界不同文化的差异性和多样性；</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10-3 具备跨文化交流的语言和书面表达能力，能就农业电气化与自动化领域专业问题，在跨文化背景下进行基本沟通和交流。</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11项目管理</w:t>
      </w:r>
      <w:r>
        <w:rPr>
          <w:rFonts w:ascii="Times New Roman" w:hAnsi="Times New Roman" w:eastAsia="仿宋_GB2312"/>
          <w:color w:val="auto"/>
          <w:sz w:val="24"/>
          <w:szCs w:val="24"/>
        </w:rPr>
        <w:t>：理解并掌握工程管理原理与经济决策方法，并能在多学科环境中应用。</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11-1 了解农业电气化与自动化工程及产品全周期、全流程的成本构成，理解和掌握农业电气化与自动化工程活动中涉及的工程管理和经济决策方法；</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11-2 能在多学科环境下(包括模拟环境)，在设计开发解决方案的过程中，运用工程管理与经济决策方法。</w:t>
      </w:r>
    </w:p>
    <w:p>
      <w:pPr>
        <w:adjustRightInd w:val="0"/>
        <w:snapToGrid w:val="0"/>
        <w:spacing w:line="360" w:lineRule="auto"/>
        <w:ind w:firstLine="482" w:firstLineChars="200"/>
        <w:rPr>
          <w:rFonts w:ascii="Times New Roman" w:hAnsi="Times New Roman" w:eastAsia="仿宋_GB2312"/>
          <w:color w:val="auto"/>
          <w:sz w:val="24"/>
          <w:szCs w:val="24"/>
        </w:rPr>
      </w:pPr>
      <w:r>
        <w:rPr>
          <w:rFonts w:ascii="Times New Roman" w:hAnsi="Times New Roman" w:eastAsia="仿宋_GB2312"/>
          <w:b/>
          <w:bCs/>
          <w:color w:val="auto"/>
          <w:sz w:val="24"/>
          <w:szCs w:val="24"/>
        </w:rPr>
        <w:t>12终身学习</w:t>
      </w:r>
      <w:r>
        <w:rPr>
          <w:rFonts w:ascii="Times New Roman" w:hAnsi="Times New Roman" w:eastAsia="仿宋_GB2312"/>
          <w:color w:val="auto"/>
          <w:sz w:val="24"/>
          <w:szCs w:val="24"/>
        </w:rPr>
        <w:t>：具有自主学习和终身学习的意识，有不断学习和适应发展的能力。</w:t>
      </w:r>
    </w:p>
    <w:p>
      <w:pPr>
        <w:adjustRightInd w:val="0"/>
        <w:snapToGrid w:val="0"/>
        <w:spacing w:line="360" w:lineRule="auto"/>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12-1 能够在社会发展的大背景下，认识不断探索和学习的重要性，具有自主学习和终身学习的意识，掌握自主学习的方法，了解拓展知识和能力的途径，认识到自主和终身学习的必要性；</w:t>
      </w:r>
    </w:p>
    <w:p>
      <w:pPr>
        <w:adjustRightInd w:val="0"/>
        <w:snapToGrid w:val="0"/>
        <w:spacing w:line="360" w:lineRule="auto"/>
        <w:ind w:firstLine="480" w:firstLineChars="200"/>
        <w:rPr>
          <w:rFonts w:ascii="Times New Roman" w:hAnsi="Times New Roman" w:eastAsia="仿宋_GB2312"/>
          <w:color w:val="auto"/>
          <w:sz w:val="28"/>
          <w:szCs w:val="28"/>
        </w:rPr>
      </w:pPr>
      <w:r>
        <w:rPr>
          <w:rFonts w:ascii="Times New Roman" w:hAnsi="Times New Roman" w:eastAsia="仿宋_GB2312"/>
          <w:color w:val="auto"/>
          <w:sz w:val="24"/>
          <w:szCs w:val="24"/>
        </w:rPr>
        <w:t>12-2 能够主动了解农业电气化与自动化领域的最新理论、技术和国际前沿动态，适应个人或职业发展的要求，具有自主学习的能力，包括对技术问题的理解能力，归纳总结的能力和提出问题的能力等。</w:t>
      </w:r>
    </w:p>
    <w:p>
      <w:pPr>
        <w:adjustRightInd w:val="0"/>
        <w:snapToGrid w:val="0"/>
        <w:spacing w:after="120" w:afterLines="50" w:line="360" w:lineRule="auto"/>
        <w:jc w:val="center"/>
        <w:rPr>
          <w:rFonts w:ascii="Times New Roman" w:hAnsi="Times New Roman" w:eastAsia="黑体"/>
          <w:bCs/>
          <w:color w:val="auto"/>
          <w:sz w:val="28"/>
          <w:szCs w:val="28"/>
        </w:rPr>
      </w:pPr>
      <w:r>
        <w:rPr>
          <w:rFonts w:ascii="Times New Roman" w:hAnsi="Times New Roman" w:eastAsia="黑体"/>
          <w:bCs/>
          <w:color w:val="auto"/>
          <w:sz w:val="28"/>
          <w:szCs w:val="28"/>
        </w:rPr>
        <w:t>毕业要求对培养目标的支撑矩阵</w:t>
      </w:r>
    </w:p>
    <w:tbl>
      <w:tblPr>
        <w:tblStyle w:val="17"/>
        <w:tblW w:w="94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1453"/>
        <w:gridCol w:w="1743"/>
        <w:gridCol w:w="1403"/>
        <w:gridCol w:w="1532"/>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shd w:val="clear" w:color="auto" w:fill="C6D9F1"/>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毕业要求</w:t>
            </w:r>
          </w:p>
        </w:tc>
        <w:tc>
          <w:tcPr>
            <w:tcW w:w="1453" w:type="dxa"/>
            <w:shd w:val="clear" w:color="auto" w:fill="C6D9F1"/>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目标1</w:t>
            </w:r>
            <w:r>
              <w:rPr>
                <w:rFonts w:ascii="Times New Roman" w:hAnsi="Times New Roman" w:eastAsia="仿宋_GB2312"/>
                <w:color w:val="auto"/>
                <w:szCs w:val="21"/>
              </w:rPr>
              <w:t>：具有健全的人格和良好的人文素养与品德修养</w:t>
            </w:r>
          </w:p>
        </w:tc>
        <w:tc>
          <w:tcPr>
            <w:tcW w:w="1743" w:type="dxa"/>
            <w:shd w:val="clear" w:color="auto" w:fill="C6D9F1"/>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目标2</w:t>
            </w:r>
            <w:r>
              <w:rPr>
                <w:rFonts w:ascii="Times New Roman" w:hAnsi="Times New Roman" w:eastAsia="仿宋_GB2312"/>
                <w:color w:val="auto"/>
                <w:szCs w:val="21"/>
              </w:rPr>
              <w:t>：具有宽广的自然科学基础、扎实的农业电气化与自动化专业基础和专业技能</w:t>
            </w:r>
          </w:p>
        </w:tc>
        <w:tc>
          <w:tcPr>
            <w:tcW w:w="1403" w:type="dxa"/>
            <w:shd w:val="clear" w:color="auto" w:fill="C6D9F1"/>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目标3</w:t>
            </w:r>
            <w:r>
              <w:rPr>
                <w:rFonts w:ascii="Times New Roman" w:hAnsi="Times New Roman" w:eastAsia="仿宋_GB2312"/>
                <w:color w:val="auto"/>
                <w:szCs w:val="21"/>
              </w:rPr>
              <w:t>：富于创新精神，具有工程实践和解决复杂工程问题的能力</w:t>
            </w:r>
          </w:p>
        </w:tc>
        <w:tc>
          <w:tcPr>
            <w:tcW w:w="1532" w:type="dxa"/>
            <w:shd w:val="clear" w:color="auto" w:fill="C6D9F1"/>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目标4</w:t>
            </w:r>
            <w:r>
              <w:rPr>
                <w:rFonts w:ascii="Times New Roman" w:hAnsi="Times New Roman" w:eastAsia="仿宋_GB2312"/>
                <w:color w:val="auto"/>
                <w:szCs w:val="21"/>
              </w:rPr>
              <w:t>：具有交流与团队合作能力</w:t>
            </w:r>
          </w:p>
        </w:tc>
        <w:tc>
          <w:tcPr>
            <w:tcW w:w="1533" w:type="dxa"/>
            <w:shd w:val="clear" w:color="auto" w:fill="C6D9F1"/>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目标5</w:t>
            </w:r>
            <w:r>
              <w:rPr>
                <w:rFonts w:ascii="Times New Roman" w:hAnsi="Times New Roman" w:eastAsia="仿宋_GB2312"/>
                <w:color w:val="auto"/>
                <w:szCs w:val="21"/>
              </w:rPr>
              <w:t>：能够在农业电气化与自动化相关领域胜任技术负责和工程管理职务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毕业要求1：</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工程知识</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b/>
                <w:color w:val="auto"/>
                <w:szCs w:val="21"/>
              </w:rPr>
            </w:pPr>
            <w:r>
              <w:rPr>
                <w:rFonts w:ascii="Times New Roman" w:hAnsi="Times New Roman" w:eastAsia="仿宋_GB2312"/>
                <w:b/>
                <w:color w:val="auto"/>
                <w:szCs w:val="21"/>
              </w:rPr>
              <w:t>√</w:t>
            </w: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毕业要求2：</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问题分析</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毕业要求3：</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设计/开发解决方案</w:t>
            </w:r>
          </w:p>
        </w:tc>
        <w:tc>
          <w:tcPr>
            <w:tcW w:w="145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毕业要求4：</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研究</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毕业要求5：</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使用现代工具</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40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毕业要求6：</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工程与社会</w:t>
            </w:r>
          </w:p>
        </w:tc>
        <w:tc>
          <w:tcPr>
            <w:tcW w:w="145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毕业要求7：</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环境和可持续发展</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毕业要求8：</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职业规范</w:t>
            </w:r>
          </w:p>
        </w:tc>
        <w:tc>
          <w:tcPr>
            <w:tcW w:w="145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毕业要求9：</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个人和团队</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53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毕业要10：</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沟通与交流</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533" w:type="dxa"/>
            <w:vAlign w:val="center"/>
          </w:tcPr>
          <w:p>
            <w:pPr>
              <w:spacing w:line="32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毕业要11：</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项目管理</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737"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毕业要12：</w:t>
            </w:r>
          </w:p>
          <w:p>
            <w:pPr>
              <w:spacing w:line="320" w:lineRule="exact"/>
              <w:jc w:val="center"/>
              <w:rPr>
                <w:rFonts w:ascii="Times New Roman" w:hAnsi="Times New Roman" w:eastAsia="仿宋_GB2312"/>
                <w:color w:val="auto"/>
                <w:szCs w:val="21"/>
              </w:rPr>
            </w:pPr>
            <w:r>
              <w:rPr>
                <w:rFonts w:ascii="Times New Roman" w:hAnsi="Times New Roman" w:eastAsia="仿宋_GB2312"/>
                <w:color w:val="auto"/>
                <w:szCs w:val="21"/>
              </w:rPr>
              <w:t>终身学习</w:t>
            </w:r>
          </w:p>
        </w:tc>
        <w:tc>
          <w:tcPr>
            <w:tcW w:w="1453" w:type="dxa"/>
            <w:vAlign w:val="center"/>
          </w:tcPr>
          <w:p>
            <w:pPr>
              <w:spacing w:line="320" w:lineRule="exact"/>
              <w:jc w:val="center"/>
              <w:rPr>
                <w:rFonts w:ascii="Times New Roman" w:hAnsi="Times New Roman" w:eastAsia="仿宋_GB2312"/>
                <w:color w:val="auto"/>
                <w:szCs w:val="21"/>
              </w:rPr>
            </w:pPr>
          </w:p>
        </w:tc>
        <w:tc>
          <w:tcPr>
            <w:tcW w:w="1743" w:type="dxa"/>
            <w:vAlign w:val="center"/>
          </w:tcPr>
          <w:p>
            <w:pPr>
              <w:spacing w:line="320" w:lineRule="exact"/>
              <w:jc w:val="center"/>
              <w:rPr>
                <w:rFonts w:ascii="Times New Roman" w:hAnsi="Times New Roman" w:eastAsia="仿宋_GB2312"/>
                <w:color w:val="auto"/>
                <w:szCs w:val="21"/>
              </w:rPr>
            </w:pPr>
            <w:r>
              <w:rPr>
                <w:rFonts w:ascii="Times New Roman" w:hAnsi="Times New Roman" w:eastAsia="仿宋_GB2312"/>
                <w:b/>
                <w:color w:val="auto"/>
                <w:szCs w:val="21"/>
              </w:rPr>
              <w:t>√</w:t>
            </w:r>
          </w:p>
        </w:tc>
        <w:tc>
          <w:tcPr>
            <w:tcW w:w="1403" w:type="dxa"/>
            <w:vAlign w:val="center"/>
          </w:tcPr>
          <w:p>
            <w:pPr>
              <w:spacing w:line="320" w:lineRule="exact"/>
              <w:jc w:val="center"/>
              <w:rPr>
                <w:rFonts w:ascii="Times New Roman" w:hAnsi="Times New Roman" w:eastAsia="仿宋_GB2312"/>
                <w:color w:val="auto"/>
                <w:szCs w:val="21"/>
              </w:rPr>
            </w:pPr>
          </w:p>
        </w:tc>
        <w:tc>
          <w:tcPr>
            <w:tcW w:w="1532" w:type="dxa"/>
            <w:vAlign w:val="center"/>
          </w:tcPr>
          <w:p>
            <w:pPr>
              <w:spacing w:line="320" w:lineRule="exact"/>
              <w:jc w:val="center"/>
              <w:rPr>
                <w:rFonts w:ascii="Times New Roman" w:hAnsi="Times New Roman" w:eastAsia="仿宋_GB2312"/>
                <w:color w:val="auto"/>
                <w:szCs w:val="21"/>
              </w:rPr>
            </w:pPr>
          </w:p>
        </w:tc>
        <w:tc>
          <w:tcPr>
            <w:tcW w:w="1533" w:type="dxa"/>
            <w:vAlign w:val="center"/>
          </w:tcPr>
          <w:p>
            <w:pPr>
              <w:spacing w:line="320" w:lineRule="exact"/>
              <w:jc w:val="center"/>
              <w:rPr>
                <w:rFonts w:ascii="Times New Roman" w:hAnsi="Times New Roman" w:eastAsia="仿宋_GB2312"/>
                <w:color w:val="auto"/>
                <w:szCs w:val="21"/>
              </w:rPr>
            </w:pPr>
          </w:p>
        </w:tc>
      </w:tr>
    </w:tbl>
    <w:p>
      <w:pPr>
        <w:adjustRightInd w:val="0"/>
        <w:snapToGrid w:val="0"/>
        <w:spacing w:before="120" w:beforeLines="50" w:line="500" w:lineRule="exact"/>
        <w:ind w:firstLine="562" w:firstLineChars="200"/>
        <w:rPr>
          <w:rFonts w:ascii="Times New Roman" w:hAnsi="Times New Roman" w:eastAsia="楷体_GB2312"/>
          <w:b/>
          <w:color w:val="auto"/>
          <w:sz w:val="28"/>
          <w:szCs w:val="28"/>
        </w:rPr>
        <w:sectPr>
          <w:headerReference r:id="rId3" w:type="default"/>
          <w:footerReference r:id="rId4" w:type="default"/>
          <w:footerReference r:id="rId5" w:type="even"/>
          <w:pgSz w:w="11850" w:h="16783"/>
          <w:pgMar w:top="1531" w:right="1134" w:bottom="1134" w:left="1531" w:header="851" w:footer="992" w:gutter="0"/>
          <w:cols w:space="0" w:num="1"/>
          <w:docGrid w:linePitch="312" w:charSpace="0"/>
        </w:sectPr>
      </w:pPr>
    </w:p>
    <w:p>
      <w:pPr>
        <w:adjustRightInd w:val="0"/>
        <w:snapToGrid w:val="0"/>
        <w:spacing w:before="156" w:beforeLines="50" w:line="500" w:lineRule="exact"/>
        <w:ind w:firstLine="562" w:firstLineChars="200"/>
        <w:rPr>
          <w:rFonts w:ascii="Times New Roman" w:hAnsi="Times New Roman" w:eastAsia="楷体_GB2312"/>
          <w:b/>
          <w:color w:val="auto"/>
          <w:sz w:val="28"/>
          <w:szCs w:val="28"/>
        </w:rPr>
      </w:pPr>
      <w:r>
        <w:rPr>
          <w:rFonts w:ascii="Times New Roman" w:hAnsi="Times New Roman" w:eastAsia="楷体_GB2312"/>
          <w:b/>
          <w:color w:val="auto"/>
          <w:sz w:val="28"/>
          <w:szCs w:val="28"/>
        </w:rPr>
        <w:t>（二）开设课程体系与毕业要求的对应关系矩阵</w:t>
      </w:r>
    </w:p>
    <w:p>
      <w:pPr>
        <w:adjustRightInd w:val="0"/>
        <w:snapToGrid w:val="0"/>
        <w:spacing w:before="156" w:beforeLines="50" w:line="500" w:lineRule="exact"/>
        <w:jc w:val="center"/>
        <w:rPr>
          <w:rFonts w:ascii="Times New Roman" w:hAnsi="Times New Roman" w:eastAsia="黑体"/>
          <w:bCs/>
          <w:color w:val="auto"/>
          <w:sz w:val="28"/>
          <w:szCs w:val="28"/>
        </w:rPr>
      </w:pPr>
      <w:r>
        <w:rPr>
          <w:rFonts w:ascii="Times New Roman" w:hAnsi="Times New Roman" w:eastAsia="黑体"/>
          <w:bCs/>
          <w:color w:val="auto"/>
          <w:sz w:val="28"/>
          <w:szCs w:val="28"/>
        </w:rPr>
        <w:t>农业电气化专业课程与毕业要求对应关系矩阵</w:t>
      </w:r>
    </w:p>
    <w:tbl>
      <w:tblPr>
        <w:tblStyle w:val="17"/>
        <w:tblW w:w="214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5"/>
        <w:gridCol w:w="625"/>
        <w:gridCol w:w="625"/>
        <w:gridCol w:w="625"/>
        <w:gridCol w:w="625"/>
        <w:gridCol w:w="625"/>
        <w:gridCol w:w="625"/>
        <w:gridCol w:w="625"/>
        <w:gridCol w:w="625"/>
        <w:gridCol w:w="625"/>
        <w:gridCol w:w="625"/>
        <w:gridCol w:w="625"/>
        <w:gridCol w:w="625"/>
        <w:gridCol w:w="625"/>
        <w:gridCol w:w="625"/>
        <w:gridCol w:w="625"/>
        <w:gridCol w:w="625"/>
        <w:gridCol w:w="625"/>
        <w:gridCol w:w="625"/>
        <w:gridCol w:w="625"/>
        <w:gridCol w:w="626"/>
        <w:gridCol w:w="626"/>
        <w:gridCol w:w="626"/>
        <w:gridCol w:w="626"/>
        <w:gridCol w:w="626"/>
        <w:gridCol w:w="742"/>
        <w:gridCol w:w="742"/>
        <w:gridCol w:w="742"/>
        <w:gridCol w:w="734"/>
        <w:gridCol w:w="734"/>
        <w:gridCol w:w="742"/>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Merge w:val="restart"/>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bCs/>
                <w:color w:val="auto"/>
                <w:sz w:val="18"/>
                <w:szCs w:val="18"/>
              </w:rPr>
              <w:t>课程名称</w:t>
            </w:r>
          </w:p>
        </w:tc>
        <w:tc>
          <w:tcPr>
            <w:tcW w:w="1875" w:type="dxa"/>
            <w:gridSpan w:val="3"/>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毕业要求1</w:t>
            </w:r>
          </w:p>
        </w:tc>
        <w:tc>
          <w:tcPr>
            <w:tcW w:w="1875" w:type="dxa"/>
            <w:gridSpan w:val="3"/>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毕业要求2</w:t>
            </w:r>
          </w:p>
        </w:tc>
        <w:tc>
          <w:tcPr>
            <w:tcW w:w="2500" w:type="dxa"/>
            <w:gridSpan w:val="4"/>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毕业要求3</w:t>
            </w:r>
          </w:p>
        </w:tc>
        <w:tc>
          <w:tcPr>
            <w:tcW w:w="1875" w:type="dxa"/>
            <w:gridSpan w:val="3"/>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毕业要求4</w:t>
            </w:r>
          </w:p>
        </w:tc>
        <w:tc>
          <w:tcPr>
            <w:tcW w:w="1875" w:type="dxa"/>
            <w:gridSpan w:val="3"/>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毕业要求5</w:t>
            </w:r>
          </w:p>
        </w:tc>
        <w:tc>
          <w:tcPr>
            <w:tcW w:w="1250" w:type="dxa"/>
            <w:gridSpan w:val="2"/>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毕业要求6</w:t>
            </w:r>
          </w:p>
        </w:tc>
        <w:tc>
          <w:tcPr>
            <w:tcW w:w="1251" w:type="dxa"/>
            <w:gridSpan w:val="2"/>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毕业要求7</w:t>
            </w:r>
          </w:p>
        </w:tc>
        <w:tc>
          <w:tcPr>
            <w:tcW w:w="1252" w:type="dxa"/>
            <w:gridSpan w:val="2"/>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毕业要求8</w:t>
            </w:r>
          </w:p>
        </w:tc>
        <w:tc>
          <w:tcPr>
            <w:tcW w:w="1252" w:type="dxa"/>
            <w:gridSpan w:val="2"/>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毕业要求9</w:t>
            </w:r>
          </w:p>
        </w:tc>
        <w:tc>
          <w:tcPr>
            <w:tcW w:w="2226" w:type="dxa"/>
            <w:gridSpan w:val="3"/>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毕业要求10</w:t>
            </w:r>
          </w:p>
        </w:tc>
        <w:tc>
          <w:tcPr>
            <w:tcW w:w="1468" w:type="dxa"/>
            <w:gridSpan w:val="2"/>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毕业要求11</w:t>
            </w:r>
          </w:p>
        </w:tc>
        <w:tc>
          <w:tcPr>
            <w:tcW w:w="1437" w:type="dxa"/>
            <w:gridSpan w:val="2"/>
            <w:shd w:val="clear" w:color="auto" w:fill="92D050"/>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毕业要求12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Merge w:val="continue"/>
            <w:vAlign w:val="center"/>
          </w:tcPr>
          <w:p>
            <w:pPr>
              <w:widowControl/>
              <w:adjustRightInd w:val="0"/>
              <w:snapToGrid w:val="0"/>
              <w:spacing w:before="156" w:beforeLines="50" w:after="156" w:afterLines="50" w:line="240" w:lineRule="exact"/>
              <w:jc w:val="left"/>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1.1</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1.2</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1.3</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2.1</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2.3</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3.1</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3.3</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3.4</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4.1</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4.2</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4.3</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5.1</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5.2</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5.3</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6.1</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6.2</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7.1</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8.1</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8.2</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9.1</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9.2</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10.1</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10.2</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10.3</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11.1</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11.2</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12.1</w:t>
            </w: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马克思主义基本原理概论</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毛泽东思想和中国特色社会主义理论体系概论</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中国近现代史纲要</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思想道德修养与法律基础</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形势与政策</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大学生职业生涯规划</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创业基础（及实践教学）</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大学生心理健康教育（及实践教学）</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军事理论</w:t>
            </w:r>
            <w:r>
              <w:rPr>
                <w:rFonts w:ascii="Times New Roman" w:hAnsi="Times New Roman" w:eastAsia="仿宋_GB2312"/>
                <w:color w:val="auto"/>
                <w:sz w:val="30"/>
                <w:szCs w:val="30"/>
              </w:rPr>
              <w:t>、</w:t>
            </w:r>
            <w:r>
              <w:rPr>
                <w:rFonts w:ascii="Times New Roman" w:hAnsi="Times New Roman" w:eastAsia="仿宋_GB2312"/>
                <w:color w:val="auto"/>
                <w:sz w:val="18"/>
                <w:szCs w:val="18"/>
              </w:rPr>
              <w:t>入学教育军训</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体育</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大学英语</w:t>
            </w:r>
            <w:r>
              <w:rPr>
                <w:rFonts w:hint="eastAsia" w:ascii="宋体" w:hAnsi="宋体" w:cs="宋体"/>
                <w:color w:val="auto"/>
                <w:sz w:val="18"/>
                <w:szCs w:val="18"/>
              </w:rPr>
              <w:t>Ⅰ</w:t>
            </w:r>
            <w:r>
              <w:rPr>
                <w:rFonts w:ascii="Times New Roman" w:hAnsi="Times New Roman" w:eastAsia="仿宋_GB2312"/>
                <w:color w:val="auto"/>
                <w:sz w:val="18"/>
                <w:szCs w:val="18"/>
              </w:rPr>
              <w:t>-</w:t>
            </w:r>
            <w:r>
              <w:rPr>
                <w:rFonts w:hint="eastAsia" w:ascii="宋体" w:hAnsi="宋体" w:cs="宋体"/>
                <w:color w:val="auto"/>
                <w:sz w:val="18"/>
                <w:szCs w:val="18"/>
              </w:rPr>
              <w:t>Ⅳ</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高等数学(上、下）</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线性代数A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复变函数与积分变换</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概率论与数理统计A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计算方法</w:t>
            </w:r>
            <w:r>
              <w:rPr>
                <w:rFonts w:hint="eastAsia" w:ascii="Times New Roman" w:hAnsi="Times New Roman" w:eastAsia="仿宋_GB2312"/>
                <w:color w:val="auto"/>
                <w:sz w:val="18"/>
                <w:szCs w:val="18"/>
              </w:rPr>
              <w:t>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农业电气化工程导论</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工程图学(电气）</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工程化学B</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生物工程基础</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C语言程序设计</w:t>
            </w:r>
            <w:r>
              <w:rPr>
                <w:rFonts w:hint="eastAsia" w:ascii="宋体" w:hAnsi="宋体" w:cs="宋体"/>
                <w:color w:val="auto"/>
                <w:sz w:val="18"/>
                <w:szCs w:val="18"/>
              </w:rPr>
              <w:t>C</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普通物理（及实验）</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电路分析</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电路分析实验</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模拟电子技术C</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数字电子技术B</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val="en-US" w:eastAsia="zh-CN"/>
              </w:rPr>
            </w:pPr>
            <w:r>
              <w:rPr>
                <w:rFonts w:hint="eastAsia" w:ascii="Times New Roman" w:hAnsi="Times New Roman" w:eastAsia="仿宋_GB2312"/>
                <w:color w:val="auto"/>
                <w:sz w:val="18"/>
                <w:szCs w:val="18"/>
              </w:rPr>
              <w:t>单片机原理与应用</w:t>
            </w:r>
            <w:r>
              <w:rPr>
                <w:rFonts w:hint="eastAsia" w:ascii="Times New Roman" w:hAnsi="Times New Roman" w:eastAsia="仿宋_GB2312"/>
                <w:color w:val="auto"/>
                <w:sz w:val="18"/>
                <w:szCs w:val="18"/>
                <w:lang w:val="en-US" w:eastAsia="zh-CN"/>
              </w:rPr>
              <w:t>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电机与拖动基础A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电力电子技术A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自动控制原理</w:t>
            </w:r>
            <w:r>
              <w:rPr>
                <w:rFonts w:hint="eastAsia" w:ascii="Times New Roman" w:hAnsi="Times New Roman" w:eastAsia="仿宋_GB2312"/>
                <w:color w:val="auto"/>
                <w:sz w:val="18"/>
                <w:szCs w:val="18"/>
              </w:rPr>
              <w:t>B</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电气控制与PLC（A）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传感器与检测技术</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虚拟仪器技术</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电力工程基础B</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电力系统分析*</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电力系统继电保护</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电子工艺及线路绘图B</w:t>
            </w:r>
            <w:r>
              <w:rPr>
                <w:rFonts w:ascii="Times New Roman" w:hAnsi="Times New Roman" w:eastAsia="仿宋_GB2312"/>
                <w:color w:val="auto"/>
                <w:sz w:val="18"/>
                <w:szCs w:val="18"/>
              </w:rPr>
              <w:t>*</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lang w:eastAsia="zh-CN"/>
              </w:rPr>
              <w:t>电子设计自动化（EDA）C</w:t>
            </w:r>
            <w:r>
              <w:rPr>
                <w:rFonts w:ascii="Times New Roman" w:hAnsi="Times New Roman" w:eastAsia="仿宋_GB2312"/>
                <w:color w:val="auto"/>
                <w:sz w:val="18"/>
                <w:szCs w:val="18"/>
              </w:rPr>
              <w:t>*</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val="en-US" w:eastAsia="zh-CN"/>
              </w:rPr>
            </w:pPr>
            <w:r>
              <w:rPr>
                <w:rFonts w:ascii="Times New Roman" w:hAnsi="Times New Roman" w:eastAsia="仿宋_GB2312"/>
                <w:color w:val="auto"/>
                <w:sz w:val="18"/>
                <w:szCs w:val="18"/>
              </w:rPr>
              <w:t>Python语言程序设计</w:t>
            </w:r>
            <w:r>
              <w:rPr>
                <w:rFonts w:hint="eastAsia" w:ascii="Times New Roman" w:hAnsi="Times New Roman" w:eastAsia="仿宋_GB2312"/>
                <w:color w:val="auto"/>
                <w:sz w:val="18"/>
                <w:szCs w:val="18"/>
                <w:lang w:val="en-US" w:eastAsia="zh-CN"/>
              </w:rPr>
              <w:t>B</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val="en-US" w:eastAsia="zh-CN"/>
              </w:rPr>
            </w:pPr>
            <w:r>
              <w:rPr>
                <w:rFonts w:ascii="Times New Roman" w:hAnsi="Times New Roman" w:eastAsia="仿宋_GB2312"/>
                <w:color w:val="auto"/>
                <w:sz w:val="18"/>
                <w:szCs w:val="18"/>
              </w:rPr>
              <w:t>Java 程序设计</w:t>
            </w:r>
            <w:r>
              <w:rPr>
                <w:rFonts w:hint="eastAsia" w:ascii="Times New Roman" w:hAnsi="Times New Roman" w:eastAsia="仿宋_GB2312"/>
                <w:color w:val="auto"/>
                <w:sz w:val="18"/>
                <w:szCs w:val="18"/>
                <w:lang w:val="en-US" w:eastAsia="zh-CN"/>
              </w:rPr>
              <w:t>B</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spacing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西门子PLC原理与应用*</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通信原理</w:t>
            </w:r>
            <w:r>
              <w:rPr>
                <w:rFonts w:hint="eastAsia" w:ascii="Times New Roman" w:hAnsi="Times New Roman" w:eastAsia="仿宋_GB2312"/>
                <w:color w:val="auto"/>
                <w:sz w:val="18"/>
                <w:szCs w:val="18"/>
              </w:rPr>
              <w:t>D</w:t>
            </w:r>
            <w:r>
              <w:rPr>
                <w:rFonts w:ascii="Times New Roman" w:hAnsi="Times New Roman" w:eastAsia="仿宋_GB2312"/>
                <w:color w:val="auto"/>
                <w:sz w:val="18"/>
                <w:szCs w:val="18"/>
              </w:rPr>
              <w:t>*（必修）</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机器学习与人工智能B</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ARM体系结构与程序设计*</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MATLAB及系统仿真</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工程项目管理</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劳动实践</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入学教育、军训（含军事理论）</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毕业教育</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第二课堂实践</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《创业基础》实践教学</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思想政治理论课综合实践</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大学生体制健康测试</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《大学生心理健康教育》实践教学</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大学生就业指导</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制造工程训练</w:t>
            </w:r>
            <w:r>
              <w:rPr>
                <w:rFonts w:hint="eastAsia" w:ascii="宋体" w:hAnsi="宋体" w:cs="宋体"/>
                <w:color w:val="auto"/>
                <w:sz w:val="18"/>
                <w:szCs w:val="18"/>
              </w:rPr>
              <w:t>Ⅱ</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highlight w:val="yellow"/>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hint="eastAsia" w:ascii="Times New Roman" w:hAnsi="Times New Roman" w:eastAsia="仿宋_GB2312"/>
                <w:color w:val="auto"/>
                <w:sz w:val="18"/>
                <w:szCs w:val="18"/>
                <w:lang w:eastAsia="zh-CN"/>
              </w:rPr>
            </w:pPr>
            <w:r>
              <w:rPr>
                <w:rFonts w:hint="eastAsia" w:ascii="Times New Roman" w:hAnsi="Times New Roman" w:eastAsia="仿宋_GB2312"/>
                <w:color w:val="auto"/>
                <w:sz w:val="18"/>
                <w:szCs w:val="18"/>
                <w:lang w:eastAsia="zh-CN"/>
              </w:rPr>
              <w:t>电子工艺实习A</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电子技术课程设计</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单片机原理与应用</w:t>
            </w:r>
            <w:r>
              <w:rPr>
                <w:rFonts w:hint="eastAsia" w:ascii="Times New Roman" w:hAnsi="Times New Roman" w:eastAsia="仿宋_GB2312"/>
                <w:color w:val="auto"/>
                <w:sz w:val="18"/>
                <w:szCs w:val="18"/>
                <w:lang w:val="en-US" w:eastAsia="zh-CN"/>
              </w:rPr>
              <w:t>A</w:t>
            </w:r>
            <w:r>
              <w:rPr>
                <w:rFonts w:ascii="Times New Roman" w:hAnsi="Times New Roman" w:eastAsia="仿宋_GB2312"/>
                <w:color w:val="auto"/>
                <w:sz w:val="18"/>
                <w:szCs w:val="18"/>
              </w:rPr>
              <w:t>课程设计</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电机绕组绕制实习</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可编程控制器应用课程设计</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农业电气化专业综合实习</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85"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农业电气化专业毕业实习毕业论文</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H</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26"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M</w:t>
            </w: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34"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742"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p>
        </w:tc>
        <w:tc>
          <w:tcPr>
            <w:tcW w:w="695" w:type="dxa"/>
            <w:vAlign w:val="center"/>
          </w:tcPr>
          <w:p>
            <w:pPr>
              <w:widowControl/>
              <w:adjustRightInd w:val="0"/>
              <w:snapToGrid w:val="0"/>
              <w:spacing w:before="156" w:beforeLines="50" w:after="156" w:afterLines="50"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L</w:t>
            </w:r>
          </w:p>
        </w:tc>
      </w:tr>
    </w:tbl>
    <w:p>
      <w:pPr>
        <w:spacing w:line="360" w:lineRule="exact"/>
        <w:jc w:val="left"/>
        <w:rPr>
          <w:rFonts w:ascii="Times New Roman" w:hAnsi="Times New Roman" w:eastAsia="仿宋_GB2312"/>
          <w:color w:val="auto"/>
          <w:sz w:val="24"/>
        </w:rPr>
      </w:pPr>
    </w:p>
    <w:p>
      <w:pPr>
        <w:spacing w:line="360" w:lineRule="exact"/>
        <w:jc w:val="left"/>
        <w:rPr>
          <w:rFonts w:ascii="Times New Roman" w:hAnsi="Times New Roman" w:eastAsia="仿宋_GB2312"/>
          <w:color w:val="auto"/>
          <w:sz w:val="24"/>
        </w:rPr>
        <w:sectPr>
          <w:pgSz w:w="23757" w:h="16783" w:orient="landscape"/>
          <w:pgMar w:top="1588" w:right="1021" w:bottom="1134" w:left="1531" w:header="851" w:footer="992" w:gutter="0"/>
          <w:cols w:space="425" w:num="1"/>
          <w:docGrid w:type="lines" w:linePitch="312" w:charSpace="0"/>
        </w:sectPr>
      </w:pPr>
    </w:p>
    <w:p>
      <w:pPr>
        <w:adjustRightInd w:val="0"/>
        <w:spacing w:line="52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四、课程设置</w:t>
      </w:r>
    </w:p>
    <w:p>
      <w:pPr>
        <w:adjustRightInd w:val="0"/>
        <w:spacing w:line="500" w:lineRule="exact"/>
        <w:ind w:firstLine="482" w:firstLineChars="200"/>
        <w:rPr>
          <w:rFonts w:ascii="Times New Roman" w:hAnsi="Times New Roman" w:eastAsia="仿宋_GB2312"/>
          <w:b/>
          <w:color w:val="auto"/>
          <w:sz w:val="24"/>
          <w:szCs w:val="24"/>
        </w:rPr>
      </w:pPr>
      <w:r>
        <w:rPr>
          <w:rFonts w:ascii="Times New Roman" w:hAnsi="Times New Roman" w:eastAsia="仿宋_GB2312"/>
          <w:b/>
          <w:color w:val="auto"/>
          <w:sz w:val="24"/>
          <w:szCs w:val="24"/>
        </w:rPr>
        <w:t>（一）主干学科</w:t>
      </w:r>
    </w:p>
    <w:p>
      <w:pPr>
        <w:adjustRightInd w:val="0"/>
        <w:spacing w:line="500" w:lineRule="exact"/>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农业工程、电气工程、控制科学与工程</w:t>
      </w:r>
    </w:p>
    <w:p>
      <w:pPr>
        <w:adjustRightInd w:val="0"/>
        <w:spacing w:line="500" w:lineRule="exact"/>
        <w:ind w:firstLine="482" w:firstLineChars="200"/>
        <w:rPr>
          <w:rFonts w:ascii="Times New Roman" w:hAnsi="Times New Roman" w:eastAsia="仿宋_GB2312"/>
          <w:b/>
          <w:color w:val="auto"/>
          <w:sz w:val="24"/>
          <w:szCs w:val="24"/>
        </w:rPr>
      </w:pPr>
      <w:r>
        <w:rPr>
          <w:rFonts w:ascii="Times New Roman" w:hAnsi="Times New Roman" w:eastAsia="仿宋_GB2312"/>
          <w:b/>
          <w:color w:val="auto"/>
          <w:sz w:val="24"/>
          <w:szCs w:val="24"/>
        </w:rPr>
        <w:t>（二）核心课程及主要实践性教学环节</w:t>
      </w:r>
    </w:p>
    <w:p>
      <w:pPr>
        <w:adjustRightInd w:val="0"/>
        <w:spacing w:line="500" w:lineRule="exact"/>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专业核心课程：电路分析、</w:t>
      </w:r>
      <w:r>
        <w:rPr>
          <w:rFonts w:hint="eastAsia" w:ascii="Times New Roman" w:hAnsi="Times New Roman" w:eastAsia="仿宋_GB2312"/>
          <w:color w:val="auto"/>
          <w:sz w:val="24"/>
          <w:szCs w:val="24"/>
          <w:lang w:eastAsia="zh-CN"/>
        </w:rPr>
        <w:t>模拟电子技术C</w:t>
      </w:r>
      <w:r>
        <w:rPr>
          <w:rFonts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数字电子技术B</w:t>
      </w:r>
      <w:r>
        <w:rPr>
          <w:rFonts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电机与拖动基础A</w:t>
      </w:r>
      <w:r>
        <w:rPr>
          <w:rFonts w:ascii="Times New Roman" w:hAnsi="Times New Roman" w:eastAsia="仿宋_GB2312"/>
          <w:color w:val="auto"/>
          <w:sz w:val="24"/>
          <w:szCs w:val="24"/>
        </w:rPr>
        <w:t>、自动控制原理</w:t>
      </w:r>
      <w:r>
        <w:rPr>
          <w:rFonts w:hint="eastAsia" w:ascii="Times New Roman" w:hAnsi="Times New Roman" w:eastAsia="仿宋_GB2312"/>
          <w:color w:val="auto"/>
          <w:sz w:val="24"/>
          <w:szCs w:val="24"/>
        </w:rPr>
        <w:t>B</w:t>
      </w:r>
      <w:r>
        <w:rPr>
          <w:rFonts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电力电子技术A</w:t>
      </w:r>
      <w:r>
        <w:rPr>
          <w:rFonts w:ascii="Times New Roman" w:hAnsi="Times New Roman" w:eastAsia="仿宋_GB2312"/>
          <w:color w:val="auto"/>
          <w:sz w:val="24"/>
          <w:szCs w:val="24"/>
        </w:rPr>
        <w:t>、</w:t>
      </w:r>
      <w:r>
        <w:rPr>
          <w:rFonts w:hint="eastAsia" w:ascii="Times New Roman" w:hAnsi="Times New Roman" w:eastAsia="仿宋_GB2312"/>
          <w:color w:val="auto"/>
          <w:sz w:val="24"/>
          <w:szCs w:val="24"/>
        </w:rPr>
        <w:t>单片机原理与应用</w:t>
      </w:r>
      <w:r>
        <w:rPr>
          <w:rFonts w:hint="eastAsia" w:ascii="Times New Roman" w:hAnsi="Times New Roman" w:eastAsia="仿宋_GB2312"/>
          <w:color w:val="auto"/>
          <w:sz w:val="24"/>
          <w:szCs w:val="24"/>
          <w:lang w:val="en-US" w:eastAsia="zh-CN"/>
        </w:rPr>
        <w:t>A</w:t>
      </w:r>
      <w:r>
        <w:rPr>
          <w:rFonts w:ascii="Times New Roman" w:hAnsi="Times New Roman" w:eastAsia="仿宋_GB2312"/>
          <w:color w:val="auto"/>
          <w:sz w:val="24"/>
          <w:szCs w:val="24"/>
        </w:rPr>
        <w:t>、</w:t>
      </w:r>
      <w:r>
        <w:rPr>
          <w:rFonts w:hint="eastAsia" w:ascii="Times New Roman" w:hAnsi="Times New Roman" w:eastAsia="仿宋_GB2312"/>
          <w:color w:val="auto"/>
          <w:sz w:val="24"/>
          <w:szCs w:val="24"/>
          <w:lang w:eastAsia="zh-CN"/>
        </w:rPr>
        <w:t>电气控制与PLC（A）</w:t>
      </w:r>
      <w:r>
        <w:rPr>
          <w:rFonts w:ascii="Times New Roman" w:hAnsi="Times New Roman" w:eastAsia="仿宋_GB2312"/>
          <w:color w:val="auto"/>
          <w:sz w:val="24"/>
          <w:szCs w:val="24"/>
        </w:rPr>
        <w:t>。</w:t>
      </w:r>
    </w:p>
    <w:p>
      <w:pPr>
        <w:adjustRightInd w:val="0"/>
        <w:spacing w:line="500" w:lineRule="exact"/>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主要实践性教学环节：制造工程训练、</w:t>
      </w:r>
      <w:r>
        <w:rPr>
          <w:rFonts w:hint="eastAsia" w:ascii="Times New Roman" w:hAnsi="Times New Roman" w:eastAsia="仿宋_GB2312"/>
          <w:color w:val="auto"/>
          <w:sz w:val="24"/>
          <w:szCs w:val="24"/>
        </w:rPr>
        <w:t>单片机原理与应用</w:t>
      </w:r>
      <w:r>
        <w:rPr>
          <w:rFonts w:hint="eastAsia" w:ascii="Times New Roman" w:hAnsi="Times New Roman" w:eastAsia="仿宋_GB2312"/>
          <w:color w:val="auto"/>
          <w:sz w:val="24"/>
          <w:szCs w:val="24"/>
          <w:lang w:val="en-US" w:eastAsia="zh-CN"/>
        </w:rPr>
        <w:t>A</w:t>
      </w:r>
      <w:r>
        <w:rPr>
          <w:rFonts w:ascii="Times New Roman" w:hAnsi="Times New Roman" w:eastAsia="仿宋_GB2312"/>
          <w:color w:val="auto"/>
          <w:sz w:val="24"/>
          <w:szCs w:val="24"/>
        </w:rPr>
        <w:t>课程设计、可编程控制器应用课程设计、</w:t>
      </w:r>
      <w:r>
        <w:rPr>
          <w:rFonts w:hint="eastAsia" w:ascii="Times New Roman" w:hAnsi="Times New Roman" w:eastAsia="仿宋_GB2312"/>
          <w:color w:val="auto"/>
          <w:sz w:val="24"/>
          <w:szCs w:val="24"/>
          <w:lang w:eastAsia="zh-CN"/>
        </w:rPr>
        <w:t>电子工艺实习A</w:t>
      </w:r>
      <w:r>
        <w:rPr>
          <w:rFonts w:ascii="Times New Roman" w:hAnsi="Times New Roman" w:eastAsia="仿宋_GB2312"/>
          <w:color w:val="auto"/>
          <w:sz w:val="24"/>
          <w:szCs w:val="24"/>
        </w:rPr>
        <w:t>、电子技术课程设计、电机绕组绕制实习、农业电气化专业创新创业实践、农业电气化专业综合实习、农业电气化专业毕业实习、毕业论文（设计）。</w:t>
      </w:r>
    </w:p>
    <w:p>
      <w:pPr>
        <w:adjustRightInd w:val="0"/>
        <w:spacing w:line="500" w:lineRule="exact"/>
        <w:ind w:firstLine="482" w:firstLineChars="200"/>
        <w:rPr>
          <w:rFonts w:ascii="Times New Roman" w:hAnsi="Times New Roman" w:eastAsia="楷体_GB2312"/>
          <w:b/>
          <w:color w:val="auto"/>
          <w:sz w:val="28"/>
          <w:szCs w:val="28"/>
        </w:rPr>
      </w:pPr>
      <w:r>
        <w:rPr>
          <w:rFonts w:ascii="Times New Roman" w:hAnsi="Times New Roman" w:eastAsia="仿宋_GB2312"/>
          <w:b/>
          <w:color w:val="auto"/>
          <w:sz w:val="24"/>
          <w:szCs w:val="24"/>
        </w:rPr>
        <w:t>（三）课程体系及所占比例</w:t>
      </w:r>
    </w:p>
    <w:tbl>
      <w:tblPr>
        <w:tblStyle w:val="17"/>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9"/>
        <w:gridCol w:w="1589"/>
        <w:gridCol w:w="857"/>
        <w:gridCol w:w="832"/>
        <w:gridCol w:w="857"/>
        <w:gridCol w:w="1473"/>
        <w:gridCol w:w="1477"/>
        <w:gridCol w:w="893"/>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704" w:type="dxa"/>
            <w:gridSpan w:val="5"/>
            <w:vAlign w:val="center"/>
          </w:tcPr>
          <w:p>
            <w:pPr>
              <w:adjustRightInd w:val="0"/>
              <w:snapToGrid w:val="0"/>
              <w:jc w:val="center"/>
              <w:textAlignment w:val="center"/>
              <w:rPr>
                <w:rFonts w:ascii="Times New Roman" w:hAnsi="Times New Roman" w:eastAsia="仿宋_GB2312"/>
                <w:b/>
                <w:bCs/>
                <w:color w:val="auto"/>
                <w:szCs w:val="21"/>
              </w:rPr>
            </w:pPr>
            <w:r>
              <w:rPr>
                <w:rFonts w:ascii="Times New Roman" w:hAnsi="Times New Roman" w:eastAsia="仿宋_GB2312"/>
                <w:b/>
                <w:bCs/>
                <w:color w:val="auto"/>
                <w:szCs w:val="21"/>
              </w:rPr>
              <w:t>课程设置及学分分配</w:t>
            </w:r>
          </w:p>
        </w:tc>
        <w:tc>
          <w:tcPr>
            <w:tcW w:w="2950" w:type="dxa"/>
            <w:gridSpan w:val="2"/>
            <w:vAlign w:val="center"/>
          </w:tcPr>
          <w:p>
            <w:pPr>
              <w:adjustRightInd w:val="0"/>
              <w:snapToGrid w:val="0"/>
              <w:jc w:val="center"/>
              <w:textAlignment w:val="center"/>
              <w:rPr>
                <w:rFonts w:ascii="Times New Roman" w:hAnsi="Times New Roman" w:eastAsia="仿宋_GB2312"/>
                <w:b/>
                <w:bCs/>
                <w:color w:val="auto"/>
                <w:szCs w:val="21"/>
              </w:rPr>
            </w:pPr>
            <w:r>
              <w:rPr>
                <w:rFonts w:ascii="Times New Roman" w:hAnsi="Times New Roman" w:eastAsia="仿宋_GB2312"/>
                <w:b/>
                <w:bCs/>
                <w:color w:val="auto"/>
                <w:szCs w:val="21"/>
              </w:rPr>
              <w:t>占课内教学学分比例</w:t>
            </w:r>
          </w:p>
        </w:tc>
        <w:tc>
          <w:tcPr>
            <w:tcW w:w="1803" w:type="dxa"/>
            <w:gridSpan w:val="2"/>
            <w:vAlign w:val="center"/>
          </w:tcPr>
          <w:p>
            <w:pPr>
              <w:adjustRightInd w:val="0"/>
              <w:snapToGrid w:val="0"/>
              <w:jc w:val="center"/>
              <w:textAlignment w:val="center"/>
              <w:rPr>
                <w:rFonts w:ascii="Times New Roman" w:hAnsi="Times New Roman" w:eastAsia="仿宋_GB2312"/>
                <w:b/>
                <w:bCs/>
                <w:color w:val="auto"/>
                <w:szCs w:val="21"/>
              </w:rPr>
            </w:pPr>
            <w:r>
              <w:rPr>
                <w:rFonts w:ascii="Times New Roman" w:hAnsi="Times New Roman" w:eastAsia="仿宋_GB2312"/>
                <w:b/>
                <w:bCs/>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dxa"/>
            <w:vMerge w:val="restart"/>
            <w:textDirection w:val="tbRlV"/>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课内教学</w:t>
            </w:r>
          </w:p>
        </w:tc>
        <w:tc>
          <w:tcPr>
            <w:tcW w:w="1589"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必修课</w:t>
            </w:r>
          </w:p>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（99.0学分）</w:t>
            </w:r>
          </w:p>
        </w:tc>
        <w:tc>
          <w:tcPr>
            <w:tcW w:w="1689" w:type="dxa"/>
            <w:gridSpan w:val="2"/>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通识课程</w:t>
            </w:r>
          </w:p>
        </w:tc>
        <w:tc>
          <w:tcPr>
            <w:tcW w:w="85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31.5</w:t>
            </w:r>
          </w:p>
        </w:tc>
        <w:tc>
          <w:tcPr>
            <w:tcW w:w="147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31.5</w:t>
            </w:r>
          </w:p>
        </w:tc>
        <w:tc>
          <w:tcPr>
            <w:tcW w:w="147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23.68%</w:t>
            </w:r>
          </w:p>
        </w:tc>
        <w:tc>
          <w:tcPr>
            <w:tcW w:w="89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18.53%</w:t>
            </w:r>
          </w:p>
        </w:tc>
        <w:tc>
          <w:tcPr>
            <w:tcW w:w="910"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58.24%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5" w:hRule="atLeast"/>
          <w:jc w:val="center"/>
        </w:trPr>
        <w:tc>
          <w:tcPr>
            <w:tcW w:w="56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8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57"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学科（专业）基础课程</w:t>
            </w:r>
          </w:p>
        </w:tc>
        <w:tc>
          <w:tcPr>
            <w:tcW w:w="832"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数学与自然科学</w:t>
            </w:r>
          </w:p>
        </w:tc>
        <w:tc>
          <w:tcPr>
            <w:tcW w:w="857"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46.5</w:t>
            </w:r>
          </w:p>
        </w:tc>
        <w:tc>
          <w:tcPr>
            <w:tcW w:w="147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36.5</w:t>
            </w:r>
          </w:p>
        </w:tc>
        <w:tc>
          <w:tcPr>
            <w:tcW w:w="147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27.45%</w:t>
            </w:r>
          </w:p>
        </w:tc>
        <w:tc>
          <w:tcPr>
            <w:tcW w:w="89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21.47%</w:t>
            </w:r>
          </w:p>
        </w:tc>
        <w:tc>
          <w:tcPr>
            <w:tcW w:w="910" w:type="dxa"/>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8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57"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832"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工程基础及专业基础</w:t>
            </w:r>
          </w:p>
        </w:tc>
        <w:tc>
          <w:tcPr>
            <w:tcW w:w="857"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47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10.0</w:t>
            </w:r>
          </w:p>
        </w:tc>
        <w:tc>
          <w:tcPr>
            <w:tcW w:w="147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7.5%</w:t>
            </w:r>
          </w:p>
        </w:tc>
        <w:tc>
          <w:tcPr>
            <w:tcW w:w="89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5.88%</w:t>
            </w:r>
          </w:p>
        </w:tc>
        <w:tc>
          <w:tcPr>
            <w:tcW w:w="910" w:type="dxa"/>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8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689" w:type="dxa"/>
            <w:gridSpan w:val="2"/>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专业课程</w:t>
            </w:r>
          </w:p>
        </w:tc>
        <w:tc>
          <w:tcPr>
            <w:tcW w:w="85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21.0</w:t>
            </w:r>
          </w:p>
        </w:tc>
        <w:tc>
          <w:tcPr>
            <w:tcW w:w="147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21.0</w:t>
            </w:r>
          </w:p>
        </w:tc>
        <w:tc>
          <w:tcPr>
            <w:tcW w:w="147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15.79%</w:t>
            </w:r>
          </w:p>
        </w:tc>
        <w:tc>
          <w:tcPr>
            <w:tcW w:w="89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12.35%</w:t>
            </w:r>
          </w:p>
        </w:tc>
        <w:tc>
          <w:tcPr>
            <w:tcW w:w="910" w:type="dxa"/>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89"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选修课</w:t>
            </w:r>
          </w:p>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（34.0学分）</w:t>
            </w:r>
          </w:p>
        </w:tc>
        <w:tc>
          <w:tcPr>
            <w:tcW w:w="1689" w:type="dxa"/>
            <w:gridSpan w:val="2"/>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通识选修课程</w:t>
            </w:r>
          </w:p>
        </w:tc>
        <w:tc>
          <w:tcPr>
            <w:tcW w:w="85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12.0</w:t>
            </w:r>
          </w:p>
        </w:tc>
        <w:tc>
          <w:tcPr>
            <w:tcW w:w="147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12.0</w:t>
            </w:r>
          </w:p>
        </w:tc>
        <w:tc>
          <w:tcPr>
            <w:tcW w:w="147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9.02%</w:t>
            </w:r>
          </w:p>
        </w:tc>
        <w:tc>
          <w:tcPr>
            <w:tcW w:w="89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7.06%</w:t>
            </w:r>
          </w:p>
        </w:tc>
        <w:tc>
          <w:tcPr>
            <w:tcW w:w="910"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6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89"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689" w:type="dxa"/>
            <w:gridSpan w:val="2"/>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专业拓展课程</w:t>
            </w:r>
          </w:p>
        </w:tc>
        <w:tc>
          <w:tcPr>
            <w:tcW w:w="85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22.0</w:t>
            </w:r>
          </w:p>
        </w:tc>
        <w:tc>
          <w:tcPr>
            <w:tcW w:w="147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22.0</w:t>
            </w:r>
          </w:p>
        </w:tc>
        <w:tc>
          <w:tcPr>
            <w:tcW w:w="147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16.54%</w:t>
            </w:r>
          </w:p>
        </w:tc>
        <w:tc>
          <w:tcPr>
            <w:tcW w:w="893"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12.94%</w:t>
            </w:r>
          </w:p>
        </w:tc>
        <w:tc>
          <w:tcPr>
            <w:tcW w:w="910" w:type="dxa"/>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47" w:type="dxa"/>
            <w:gridSpan w:val="4"/>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实践教学（37.0学分）</w:t>
            </w:r>
          </w:p>
        </w:tc>
        <w:tc>
          <w:tcPr>
            <w:tcW w:w="85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37实践</w:t>
            </w:r>
          </w:p>
        </w:tc>
        <w:tc>
          <w:tcPr>
            <w:tcW w:w="4753" w:type="dxa"/>
            <w:gridSpan w:val="4"/>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21.76%（含实验占总学分比例30.59%）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847" w:type="dxa"/>
            <w:gridSpan w:val="4"/>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毕业总学分</w:t>
            </w:r>
          </w:p>
        </w:tc>
        <w:tc>
          <w:tcPr>
            <w:tcW w:w="5610" w:type="dxa"/>
            <w:gridSpan w:val="5"/>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 xml:space="preserve">  170 </w:t>
            </w:r>
          </w:p>
        </w:tc>
      </w:tr>
    </w:tbl>
    <w:p>
      <w:pPr>
        <w:adjustRightInd w:val="0"/>
        <w:spacing w:before="156" w:beforeLines="50" w:line="520" w:lineRule="exact"/>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五、学制、修业年限与学位授予</w:t>
      </w:r>
    </w:p>
    <w:p>
      <w:pPr>
        <w:spacing w:line="520" w:lineRule="exact"/>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学制：4年；修业年限：3-8年</w:t>
      </w:r>
    </w:p>
    <w:p>
      <w:pPr>
        <w:spacing w:line="520" w:lineRule="exact"/>
        <w:ind w:firstLine="480" w:firstLineChars="200"/>
        <w:rPr>
          <w:rFonts w:ascii="Times New Roman" w:hAnsi="Times New Roman" w:eastAsia="仿宋_GB2312"/>
          <w:color w:val="auto"/>
          <w:sz w:val="24"/>
          <w:szCs w:val="24"/>
        </w:rPr>
      </w:pPr>
      <w:r>
        <w:rPr>
          <w:rFonts w:ascii="Times New Roman" w:hAnsi="Times New Roman" w:eastAsia="仿宋_GB2312"/>
          <w:color w:val="auto"/>
          <w:sz w:val="24"/>
          <w:szCs w:val="24"/>
        </w:rPr>
        <w:t>授予学位：符合国家学位规定和青岛农业大学学位授予条件者，授予工学学士学位</w:t>
      </w:r>
    </w:p>
    <w:p>
      <w:pPr>
        <w:adjustRightInd w:val="0"/>
        <w:spacing w:before="156" w:beforeLines="50" w:after="156" w:afterLines="50" w:line="520" w:lineRule="exact"/>
        <w:ind w:firstLine="560" w:firstLineChars="200"/>
        <w:rPr>
          <w:rFonts w:ascii="Times New Roman" w:hAnsi="Times New Roman" w:eastAsia="黑体"/>
          <w:bCs/>
          <w:color w:val="auto"/>
          <w:sz w:val="28"/>
          <w:szCs w:val="24"/>
        </w:rPr>
      </w:pPr>
    </w:p>
    <w:p>
      <w:pPr>
        <w:adjustRightInd w:val="0"/>
        <w:spacing w:before="156" w:beforeLines="50" w:after="156" w:afterLines="50" w:line="520" w:lineRule="exact"/>
        <w:ind w:firstLine="560" w:firstLineChars="200"/>
        <w:rPr>
          <w:rFonts w:ascii="Times New Roman" w:hAnsi="Times New Roman" w:eastAsia="黑体"/>
          <w:bCs/>
          <w:color w:val="auto"/>
          <w:sz w:val="24"/>
          <w:szCs w:val="24"/>
        </w:rPr>
      </w:pPr>
      <w:r>
        <w:rPr>
          <w:rFonts w:ascii="Times New Roman" w:hAnsi="Times New Roman" w:eastAsia="黑体"/>
          <w:bCs/>
          <w:color w:val="auto"/>
          <w:sz w:val="28"/>
          <w:szCs w:val="24"/>
        </w:rPr>
        <w:t>六、课程类型与基本要求</w:t>
      </w:r>
    </w:p>
    <w:tbl>
      <w:tblPr>
        <w:tblStyle w:val="17"/>
        <w:tblW w:w="94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135"/>
        <w:gridCol w:w="849"/>
        <w:gridCol w:w="66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Align w:val="center"/>
          </w:tcPr>
          <w:p>
            <w:pPr>
              <w:spacing w:line="320" w:lineRule="exact"/>
              <w:ind w:firstLine="30" w:firstLineChars="14"/>
              <w:jc w:val="center"/>
              <w:rPr>
                <w:rFonts w:ascii="Times New Roman" w:hAnsi="Times New Roman" w:eastAsia="仿宋_GB2312"/>
                <w:b/>
                <w:bCs/>
                <w:color w:val="auto"/>
                <w:szCs w:val="21"/>
              </w:rPr>
            </w:pPr>
            <w:r>
              <w:rPr>
                <w:rFonts w:ascii="Times New Roman" w:hAnsi="Times New Roman" w:eastAsia="仿宋_GB2312"/>
                <w:b/>
                <w:bCs/>
                <w:color w:val="auto"/>
                <w:szCs w:val="21"/>
              </w:rPr>
              <w:t>课程类型</w:t>
            </w:r>
          </w:p>
        </w:tc>
        <w:tc>
          <w:tcPr>
            <w:tcW w:w="1135" w:type="dxa"/>
            <w:vAlign w:val="center"/>
          </w:tcPr>
          <w:p>
            <w:pPr>
              <w:spacing w:line="320" w:lineRule="exact"/>
              <w:ind w:firstLine="30" w:firstLineChars="14"/>
              <w:jc w:val="center"/>
              <w:rPr>
                <w:rFonts w:ascii="Times New Roman" w:hAnsi="Times New Roman" w:eastAsia="仿宋_GB2312"/>
                <w:b/>
                <w:bCs/>
                <w:color w:val="auto"/>
                <w:szCs w:val="21"/>
              </w:rPr>
            </w:pPr>
            <w:r>
              <w:rPr>
                <w:rFonts w:ascii="Times New Roman" w:hAnsi="Times New Roman" w:eastAsia="仿宋_GB2312"/>
                <w:b/>
                <w:bCs/>
                <w:color w:val="auto"/>
                <w:szCs w:val="21"/>
              </w:rPr>
              <w:t>课程属性</w:t>
            </w:r>
          </w:p>
        </w:tc>
        <w:tc>
          <w:tcPr>
            <w:tcW w:w="849" w:type="dxa"/>
            <w:vAlign w:val="center"/>
          </w:tcPr>
          <w:p>
            <w:pPr>
              <w:spacing w:line="320" w:lineRule="exact"/>
              <w:ind w:firstLine="30" w:firstLineChars="14"/>
              <w:jc w:val="center"/>
              <w:rPr>
                <w:rFonts w:ascii="Times New Roman" w:hAnsi="Times New Roman" w:eastAsia="仿宋_GB2312"/>
                <w:b/>
                <w:bCs/>
                <w:color w:val="auto"/>
                <w:szCs w:val="21"/>
              </w:rPr>
            </w:pPr>
            <w:r>
              <w:rPr>
                <w:rFonts w:ascii="Times New Roman" w:hAnsi="Times New Roman" w:eastAsia="仿宋_GB2312"/>
                <w:b/>
                <w:bCs/>
                <w:color w:val="auto"/>
                <w:szCs w:val="21"/>
              </w:rPr>
              <w:t>学分</w:t>
            </w:r>
          </w:p>
        </w:tc>
        <w:tc>
          <w:tcPr>
            <w:tcW w:w="6684" w:type="dxa"/>
            <w:vAlign w:val="center"/>
          </w:tcPr>
          <w:p>
            <w:pPr>
              <w:spacing w:line="320" w:lineRule="exact"/>
              <w:ind w:firstLine="30" w:firstLineChars="14"/>
              <w:jc w:val="center"/>
              <w:rPr>
                <w:rFonts w:ascii="Times New Roman" w:hAnsi="Times New Roman" w:eastAsia="仿宋_GB2312"/>
                <w:b/>
                <w:bCs/>
                <w:color w:val="auto"/>
                <w:szCs w:val="21"/>
              </w:rPr>
            </w:pPr>
            <w:r>
              <w:rPr>
                <w:rFonts w:ascii="Times New Roman" w:hAnsi="Times New Roman" w:eastAsia="仿宋_GB2312"/>
                <w:b/>
                <w:bCs/>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Merge w:val="restar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通识课程</w:t>
            </w:r>
          </w:p>
        </w:tc>
        <w:tc>
          <w:tcPr>
            <w:tcW w:w="1135"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必修</w:t>
            </w:r>
          </w:p>
        </w:tc>
        <w:tc>
          <w:tcPr>
            <w:tcW w:w="849"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31.5</w:t>
            </w:r>
          </w:p>
        </w:tc>
        <w:tc>
          <w:tcPr>
            <w:tcW w:w="6684" w:type="dxa"/>
            <w:vAlign w:val="center"/>
          </w:tcPr>
          <w:p>
            <w:pPr>
              <w:spacing w:line="320" w:lineRule="exact"/>
              <w:jc w:val="left"/>
              <w:rPr>
                <w:rFonts w:ascii="Times New Roman" w:hAnsi="Times New Roman" w:eastAsia="仿宋_GB2312"/>
                <w:bCs/>
                <w:color w:val="auto"/>
                <w:szCs w:val="21"/>
              </w:rPr>
            </w:pPr>
            <w:r>
              <w:rPr>
                <w:rFonts w:ascii="Times New Roman" w:hAnsi="Times New Roman" w:eastAsia="仿宋_GB2312"/>
                <w:bCs/>
                <w:color w:val="auto"/>
                <w:szCs w:val="21"/>
              </w:rPr>
              <w:t>思政课程：14学分、大学英语（8 学分）、体育（4 学分）、大学生心理健康教育（1.5 学分）、大学生职业生涯规划（1 学分）、创业基础（1 学分）、军事理论（2学分）。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Merge w:val="continue"/>
            <w:vAlign w:val="center"/>
          </w:tcPr>
          <w:p>
            <w:pPr>
              <w:spacing w:line="320" w:lineRule="exact"/>
              <w:ind w:firstLine="29" w:firstLineChars="14"/>
              <w:jc w:val="center"/>
              <w:rPr>
                <w:rFonts w:ascii="Times New Roman" w:hAnsi="Times New Roman" w:eastAsia="仿宋_GB2312"/>
                <w:color w:val="auto"/>
                <w:szCs w:val="21"/>
              </w:rPr>
            </w:pPr>
          </w:p>
        </w:tc>
        <w:tc>
          <w:tcPr>
            <w:tcW w:w="1135"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选修</w:t>
            </w:r>
          </w:p>
        </w:tc>
        <w:tc>
          <w:tcPr>
            <w:tcW w:w="849"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12.0</w:t>
            </w:r>
          </w:p>
        </w:tc>
        <w:tc>
          <w:tcPr>
            <w:tcW w:w="6684" w:type="dxa"/>
            <w:vAlign w:val="center"/>
          </w:tcPr>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英语课程（考试类、文化类模块）必选2学分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美育课程：最低选修2学分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计算机类课程：计算机基础必选，2学分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中国语言文学与优秀传统文化：必选2学分。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创新创业类课程建议选修不低于2学分。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文科、艺术等门类建议选修自然类课程不低于2学分。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Merge w:val="restart"/>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专业教育课程</w:t>
            </w:r>
          </w:p>
        </w:tc>
        <w:tc>
          <w:tcPr>
            <w:tcW w:w="1135"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必修</w:t>
            </w:r>
          </w:p>
        </w:tc>
        <w:tc>
          <w:tcPr>
            <w:tcW w:w="849"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67.5</w:t>
            </w:r>
          </w:p>
        </w:tc>
        <w:tc>
          <w:tcPr>
            <w:tcW w:w="6684" w:type="dxa"/>
            <w:vAlign w:val="center"/>
          </w:tcPr>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学科（专业）基础课程：46.5学分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农业电气化工程导论（1 学分）、高等数学（9学分）、生物工程基础（2 学分）、C 语言程序设计（3.0 学分）、</w:t>
            </w:r>
            <w:r>
              <w:rPr>
                <w:rFonts w:hint="eastAsia" w:ascii="Times New Roman" w:hAnsi="Times New Roman" w:eastAsia="仿宋_GB2312"/>
                <w:bCs/>
                <w:color w:val="auto"/>
                <w:szCs w:val="21"/>
                <w:lang w:eastAsia="zh-CN"/>
              </w:rPr>
              <w:t>线性代数A</w:t>
            </w:r>
            <w:r>
              <w:rPr>
                <w:rFonts w:ascii="Times New Roman" w:hAnsi="Times New Roman" w:eastAsia="仿宋_GB2312"/>
                <w:bCs/>
                <w:color w:val="auto"/>
                <w:szCs w:val="21"/>
              </w:rPr>
              <w:t>（2 学分）、复变函数与积分变换（3 学分）、普通物理及实验（5.5 学分）、工程图学（4 学分）、电路分析及实验（5.5 学分）、</w:t>
            </w:r>
            <w:r>
              <w:rPr>
                <w:rFonts w:hint="eastAsia" w:ascii="Times New Roman" w:hAnsi="Times New Roman" w:eastAsia="仿宋_GB2312"/>
                <w:bCs/>
                <w:color w:val="auto"/>
                <w:szCs w:val="21"/>
                <w:lang w:eastAsia="zh-CN"/>
              </w:rPr>
              <w:t>模拟电子技术C</w:t>
            </w:r>
            <w:r>
              <w:rPr>
                <w:rFonts w:ascii="Times New Roman" w:hAnsi="Times New Roman" w:eastAsia="仿宋_GB2312"/>
                <w:bCs/>
                <w:color w:val="auto"/>
                <w:szCs w:val="21"/>
              </w:rPr>
              <w:t>（3.5 学分）、</w:t>
            </w:r>
            <w:r>
              <w:rPr>
                <w:rFonts w:hint="eastAsia" w:ascii="Times New Roman" w:hAnsi="Times New Roman" w:eastAsia="仿宋_GB2312"/>
                <w:bCs/>
                <w:color w:val="auto"/>
                <w:szCs w:val="21"/>
                <w:lang w:eastAsia="zh-CN"/>
              </w:rPr>
              <w:t>数字电子技术B</w:t>
            </w:r>
            <w:r>
              <w:rPr>
                <w:rFonts w:ascii="Times New Roman" w:hAnsi="Times New Roman" w:eastAsia="仿宋_GB2312"/>
                <w:bCs/>
                <w:color w:val="auto"/>
                <w:szCs w:val="21"/>
              </w:rPr>
              <w:t>（2.5 学分）、</w:t>
            </w:r>
            <w:r>
              <w:rPr>
                <w:rFonts w:hint="eastAsia" w:ascii="Times New Roman" w:hAnsi="Times New Roman" w:eastAsia="仿宋_GB2312"/>
                <w:bCs/>
                <w:color w:val="auto"/>
                <w:szCs w:val="21"/>
                <w:lang w:eastAsia="zh-CN"/>
              </w:rPr>
              <w:t>概率论与数理统计A</w:t>
            </w:r>
            <w:r>
              <w:rPr>
                <w:rFonts w:ascii="Times New Roman" w:hAnsi="Times New Roman" w:eastAsia="仿宋_GB2312"/>
                <w:bCs/>
                <w:color w:val="auto"/>
                <w:szCs w:val="21"/>
              </w:rPr>
              <w:t>（3.5学分）、计算方法</w:t>
            </w:r>
            <w:r>
              <w:rPr>
                <w:rFonts w:hint="eastAsia" w:ascii="Times New Roman" w:hAnsi="Times New Roman" w:eastAsia="仿宋_GB2312"/>
                <w:bCs/>
                <w:color w:val="auto"/>
                <w:szCs w:val="21"/>
              </w:rPr>
              <w:t>A</w:t>
            </w:r>
            <w:r>
              <w:rPr>
                <w:rFonts w:ascii="Times New Roman" w:hAnsi="Times New Roman" w:eastAsia="仿宋_GB2312"/>
                <w:bCs/>
                <w:color w:val="auto"/>
                <w:szCs w:val="21"/>
              </w:rPr>
              <w:t>（2.0学分）。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专业课：21.0学分</w:t>
            </w:r>
          </w:p>
          <w:p>
            <w:pPr>
              <w:spacing w:line="320" w:lineRule="exact"/>
              <w:rPr>
                <w:rFonts w:ascii="Times New Roman" w:hAnsi="Times New Roman" w:eastAsia="仿宋_GB2312"/>
                <w:bCs/>
                <w:color w:val="auto"/>
                <w:szCs w:val="21"/>
              </w:rPr>
            </w:pPr>
            <w:r>
              <w:rPr>
                <w:rFonts w:ascii="Times New Roman" w:hAnsi="Times New Roman" w:eastAsia="仿宋_GB2312"/>
                <w:bCs/>
                <w:color w:val="auto"/>
                <w:szCs w:val="21"/>
              </w:rPr>
              <w:t>自动控制原理</w:t>
            </w:r>
            <w:r>
              <w:rPr>
                <w:rFonts w:hint="eastAsia" w:ascii="Times New Roman" w:hAnsi="Times New Roman" w:eastAsia="仿宋_GB2312"/>
                <w:bCs/>
                <w:color w:val="auto"/>
                <w:szCs w:val="21"/>
              </w:rPr>
              <w:t>B</w:t>
            </w:r>
            <w:r>
              <w:rPr>
                <w:rFonts w:ascii="Times New Roman" w:hAnsi="Times New Roman" w:eastAsia="仿宋_GB2312"/>
                <w:bCs/>
                <w:color w:val="auto"/>
                <w:szCs w:val="21"/>
              </w:rPr>
              <w:t>（5.0学分）、</w:t>
            </w:r>
            <w:r>
              <w:rPr>
                <w:rFonts w:hint="eastAsia" w:ascii="Times New Roman" w:hAnsi="Times New Roman" w:eastAsia="仿宋_GB2312"/>
                <w:bCs/>
                <w:color w:val="auto"/>
                <w:szCs w:val="21"/>
                <w:lang w:eastAsia="zh-CN"/>
              </w:rPr>
              <w:t>电机与拖动基础A</w:t>
            </w:r>
            <w:r>
              <w:rPr>
                <w:rFonts w:ascii="Times New Roman" w:hAnsi="Times New Roman" w:eastAsia="仿宋_GB2312"/>
                <w:bCs/>
                <w:color w:val="auto"/>
                <w:szCs w:val="21"/>
              </w:rPr>
              <w:t>及实验（4.5学分）、</w:t>
            </w:r>
            <w:r>
              <w:rPr>
                <w:rFonts w:hint="eastAsia" w:ascii="Times New Roman" w:hAnsi="Times New Roman" w:eastAsia="仿宋_GB2312"/>
                <w:bCs/>
                <w:color w:val="auto"/>
                <w:szCs w:val="21"/>
                <w:lang w:eastAsia="zh-CN"/>
              </w:rPr>
              <w:t>电力电子技术A</w:t>
            </w:r>
            <w:r>
              <w:rPr>
                <w:rFonts w:ascii="Times New Roman" w:hAnsi="Times New Roman" w:eastAsia="仿宋_GB2312"/>
                <w:bCs/>
                <w:color w:val="auto"/>
                <w:szCs w:val="21"/>
              </w:rPr>
              <w:t>及实验（3.5 学分）、</w:t>
            </w:r>
            <w:r>
              <w:rPr>
                <w:rFonts w:hint="eastAsia" w:ascii="Times New Roman" w:hAnsi="Times New Roman" w:eastAsia="仿宋_GB2312"/>
                <w:bCs/>
                <w:color w:val="auto"/>
                <w:szCs w:val="21"/>
              </w:rPr>
              <w:t>单片机原理与应用</w:t>
            </w:r>
            <w:r>
              <w:rPr>
                <w:rFonts w:hint="eastAsia" w:ascii="Times New Roman" w:hAnsi="Times New Roman" w:eastAsia="仿宋_GB2312"/>
                <w:bCs/>
                <w:color w:val="auto"/>
                <w:szCs w:val="21"/>
                <w:lang w:val="en-US" w:eastAsia="zh-CN"/>
              </w:rPr>
              <w:t>A</w:t>
            </w:r>
            <w:r>
              <w:rPr>
                <w:rFonts w:ascii="Times New Roman" w:hAnsi="Times New Roman" w:eastAsia="仿宋_GB2312"/>
                <w:bCs/>
                <w:color w:val="auto"/>
                <w:szCs w:val="21"/>
              </w:rPr>
              <w:t>及实验（3.5 学分）、</w:t>
            </w:r>
            <w:r>
              <w:rPr>
                <w:rFonts w:hint="eastAsia" w:ascii="Times New Roman" w:hAnsi="Times New Roman" w:eastAsia="仿宋_GB2312"/>
                <w:bCs/>
                <w:color w:val="auto"/>
                <w:szCs w:val="21"/>
                <w:lang w:eastAsia="zh-CN"/>
              </w:rPr>
              <w:t>电气控制与PLC（A）</w:t>
            </w:r>
            <w:r>
              <w:rPr>
                <w:rFonts w:ascii="Times New Roman" w:hAnsi="Times New Roman" w:eastAsia="仿宋_GB2312"/>
                <w:bCs/>
                <w:color w:val="auto"/>
                <w:szCs w:val="21"/>
              </w:rPr>
              <w:t>(4.5学分）。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Merge w:val="continue"/>
            <w:vAlign w:val="center"/>
          </w:tcPr>
          <w:p>
            <w:pPr>
              <w:spacing w:line="320" w:lineRule="exact"/>
              <w:ind w:firstLine="29" w:firstLineChars="14"/>
              <w:jc w:val="center"/>
              <w:rPr>
                <w:rFonts w:ascii="Times New Roman" w:hAnsi="Times New Roman" w:eastAsia="仿宋_GB2312"/>
                <w:color w:val="auto"/>
                <w:szCs w:val="21"/>
              </w:rPr>
            </w:pPr>
          </w:p>
        </w:tc>
        <w:tc>
          <w:tcPr>
            <w:tcW w:w="1135"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选修</w:t>
            </w:r>
          </w:p>
        </w:tc>
        <w:tc>
          <w:tcPr>
            <w:tcW w:w="849"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22.0</w:t>
            </w:r>
          </w:p>
        </w:tc>
        <w:tc>
          <w:tcPr>
            <w:tcW w:w="6684" w:type="dxa"/>
            <w:vAlign w:val="center"/>
          </w:tcPr>
          <w:p>
            <w:pPr>
              <w:spacing w:line="320" w:lineRule="exact"/>
              <w:jc w:val="left"/>
              <w:rPr>
                <w:rFonts w:ascii="Times New Roman" w:hAnsi="Times New Roman" w:eastAsia="仿宋_GB2312"/>
                <w:bCs/>
                <w:color w:val="auto"/>
                <w:szCs w:val="21"/>
              </w:rPr>
            </w:pPr>
            <w:r>
              <w:rPr>
                <w:rFonts w:ascii="Times New Roman" w:hAnsi="Times New Roman" w:eastAsia="仿宋_GB2312"/>
                <w:bCs/>
                <w:color w:val="auto"/>
                <w:szCs w:val="21"/>
              </w:rPr>
              <w:t>专业拓展课程：22学分</w:t>
            </w:r>
          </w:p>
          <w:p>
            <w:pPr>
              <w:widowControl/>
              <w:spacing w:line="320" w:lineRule="exact"/>
              <w:jc w:val="left"/>
              <w:rPr>
                <w:rFonts w:ascii="Times New Roman" w:hAnsi="Times New Roman" w:eastAsia="仿宋_GB2312"/>
                <w:bCs/>
                <w:color w:val="auto"/>
                <w:szCs w:val="21"/>
              </w:rPr>
            </w:pPr>
            <w:r>
              <w:rPr>
                <w:rFonts w:ascii="Times New Roman" w:hAnsi="Times New Roman" w:eastAsia="仿宋_GB2312"/>
                <w:bCs/>
                <w:color w:val="auto"/>
                <w:szCs w:val="21"/>
              </w:rPr>
              <w:t>（1）专业拓展课要求至少修满 22学分；（2）要求从公共模块至少取得17学分；（3）其余的请从电力系统、自动控制两个专业方向课程中根据个人的发展需要酌情选择。（4）带▲必选，带*的课程为专业方向核心类课程，建议限选。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89"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实践课程</w:t>
            </w:r>
          </w:p>
        </w:tc>
        <w:tc>
          <w:tcPr>
            <w:tcW w:w="1135"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必修</w:t>
            </w:r>
          </w:p>
        </w:tc>
        <w:tc>
          <w:tcPr>
            <w:tcW w:w="849" w:type="dxa"/>
            <w:vAlign w:val="center"/>
          </w:tcPr>
          <w:p>
            <w:pPr>
              <w:spacing w:line="320" w:lineRule="exact"/>
              <w:ind w:firstLine="29" w:firstLineChars="14"/>
              <w:jc w:val="center"/>
              <w:rPr>
                <w:rFonts w:ascii="Times New Roman" w:hAnsi="Times New Roman" w:eastAsia="仿宋_GB2312"/>
                <w:color w:val="auto"/>
                <w:szCs w:val="21"/>
              </w:rPr>
            </w:pPr>
            <w:r>
              <w:rPr>
                <w:rFonts w:ascii="Times New Roman" w:hAnsi="Times New Roman" w:eastAsia="仿宋_GB2312"/>
                <w:color w:val="auto"/>
                <w:szCs w:val="21"/>
              </w:rPr>
              <w:t>37.0</w:t>
            </w:r>
          </w:p>
        </w:tc>
        <w:tc>
          <w:tcPr>
            <w:tcW w:w="6684" w:type="dxa"/>
            <w:vAlign w:val="center"/>
          </w:tcPr>
          <w:p>
            <w:pPr>
              <w:widowControl/>
              <w:spacing w:line="320" w:lineRule="exact"/>
              <w:jc w:val="left"/>
              <w:rPr>
                <w:rFonts w:ascii="Times New Roman" w:hAnsi="Times New Roman" w:eastAsia="仿宋_GB2312"/>
                <w:bCs/>
                <w:color w:val="auto"/>
                <w:szCs w:val="21"/>
              </w:rPr>
            </w:pPr>
            <w:r>
              <w:rPr>
                <w:rFonts w:ascii="Times New Roman" w:hAnsi="Times New Roman" w:eastAsia="仿宋_GB2312"/>
                <w:color w:val="auto"/>
                <w:kern w:val="0"/>
                <w:szCs w:val="21"/>
              </w:rPr>
              <w:t>劳动实践</w:t>
            </w:r>
            <w:r>
              <w:rPr>
                <w:rFonts w:ascii="Times New Roman" w:hAnsi="Times New Roman" w:eastAsia="仿宋_GB2312"/>
                <w:color w:val="auto"/>
                <w:kern w:val="0"/>
                <w:szCs w:val="21"/>
              </w:rPr>
              <w:t>（2 学分）、入学教育、军训（2学分）、毕业教育、专业社会实践（0学分）、大学生体质健康测试（0.5 学分）、第二课堂实践（2 学分）、《创业基础》实践（1 学分）、思想政治理论课综合实践（2 学分）、《大学生心理健康教育》实践（0.5 学分）、大学生就业指导（1 学分）、制造工程训练</w:t>
            </w:r>
            <w:r>
              <w:rPr>
                <w:rFonts w:hint="eastAsia" w:ascii="宋体" w:hAnsi="宋体" w:cs="宋体"/>
                <w:color w:val="auto"/>
                <w:kern w:val="0"/>
                <w:szCs w:val="21"/>
              </w:rPr>
              <w:t>Ⅱ</w:t>
            </w:r>
            <w:r>
              <w:rPr>
                <w:rFonts w:ascii="Times New Roman" w:hAnsi="Times New Roman" w:eastAsia="仿宋_GB2312"/>
                <w:color w:val="auto"/>
                <w:kern w:val="0"/>
                <w:szCs w:val="21"/>
              </w:rPr>
              <w:t>（2 学分）、</w:t>
            </w:r>
            <w:r>
              <w:rPr>
                <w:rFonts w:hint="eastAsia" w:ascii="Times New Roman" w:hAnsi="Times New Roman" w:eastAsia="仿宋_GB2312"/>
                <w:color w:val="auto"/>
                <w:kern w:val="0"/>
                <w:szCs w:val="21"/>
                <w:lang w:eastAsia="zh-CN"/>
              </w:rPr>
              <w:t>电子工艺实习A</w:t>
            </w:r>
            <w:r>
              <w:rPr>
                <w:rFonts w:ascii="Times New Roman" w:hAnsi="Times New Roman" w:eastAsia="仿宋_GB2312"/>
                <w:color w:val="auto"/>
                <w:kern w:val="0"/>
                <w:szCs w:val="21"/>
              </w:rPr>
              <w:t>（2 学分）、电子技术课程设计（2 学分）、</w:t>
            </w:r>
            <w:r>
              <w:rPr>
                <w:rFonts w:hint="eastAsia" w:ascii="Times New Roman" w:hAnsi="Times New Roman" w:eastAsia="仿宋_GB2312"/>
                <w:color w:val="auto"/>
                <w:kern w:val="0"/>
                <w:szCs w:val="21"/>
              </w:rPr>
              <w:t>单片机原理与应用</w:t>
            </w:r>
            <w:r>
              <w:rPr>
                <w:rFonts w:hint="eastAsia" w:ascii="Times New Roman" w:hAnsi="Times New Roman" w:eastAsia="仿宋_GB2312"/>
                <w:color w:val="auto"/>
                <w:kern w:val="0"/>
                <w:szCs w:val="21"/>
                <w:lang w:val="en-US" w:eastAsia="zh-CN"/>
              </w:rPr>
              <w:t>A</w:t>
            </w:r>
            <w:r>
              <w:rPr>
                <w:rFonts w:ascii="Times New Roman" w:hAnsi="Times New Roman" w:eastAsia="仿宋_GB2312"/>
                <w:color w:val="auto"/>
                <w:kern w:val="0"/>
                <w:szCs w:val="21"/>
              </w:rPr>
              <w:t>课程设计（2 学分）、电机绕组绕制实习（1 学分）、可编程控制器应用课程设计（2 学分）、农业电气化专业综合实习（5学分）、农业电气化</w:t>
            </w:r>
            <w:r>
              <w:rPr>
                <w:rFonts w:ascii="Times New Roman" w:hAnsi="Times New Roman" w:eastAsia="仿宋_GB2312"/>
                <w:color w:val="auto"/>
                <w:szCs w:val="21"/>
              </w:rPr>
              <w:t>专业毕业实习</w:t>
            </w:r>
            <w:r>
              <w:rPr>
                <w:rFonts w:ascii="Times New Roman" w:hAnsi="Times New Roman" w:eastAsia="仿宋_GB2312"/>
                <w:color w:val="auto"/>
                <w:kern w:val="0"/>
                <w:szCs w:val="21"/>
              </w:rPr>
              <w:t>（含劳动实践）（4学分）</w:t>
            </w:r>
            <w:r>
              <w:rPr>
                <w:rFonts w:ascii="Times New Roman" w:hAnsi="Times New Roman" w:eastAsia="仿宋_GB2312"/>
                <w:color w:val="auto"/>
                <w:szCs w:val="21"/>
              </w:rPr>
              <w:t>、</w:t>
            </w:r>
            <w:r>
              <w:rPr>
                <w:rFonts w:ascii="Times New Roman" w:hAnsi="Times New Roman" w:eastAsia="仿宋_GB2312"/>
                <w:color w:val="auto"/>
                <w:kern w:val="0"/>
                <w:szCs w:val="21"/>
              </w:rPr>
              <w:t>农业电气化专业</w:t>
            </w:r>
            <w:r>
              <w:rPr>
                <w:rFonts w:ascii="Times New Roman" w:hAnsi="Times New Roman" w:eastAsia="仿宋_GB2312"/>
                <w:color w:val="auto"/>
                <w:kern w:val="0"/>
                <w:szCs w:val="21"/>
              </w:rPr>
              <w:t>毕业论文（设计）（6学分）</w:t>
            </w:r>
            <w:r>
              <w:rPr>
                <w:rFonts w:ascii="Times New Roman" w:hAnsi="Times New Roman" w:eastAsia="仿宋_GB2312"/>
                <w:bCs/>
                <w:color w:val="auto"/>
                <w:szCs w:val="21"/>
              </w:rPr>
              <w:t>。</w:t>
            </w:r>
          </w:p>
        </w:tc>
      </w:tr>
    </w:tbl>
    <w:p>
      <w:pPr>
        <w:adjustRightInd w:val="0"/>
        <w:snapToGrid w:val="0"/>
        <w:spacing w:line="360" w:lineRule="exact"/>
        <w:rPr>
          <w:rFonts w:ascii="Times New Roman" w:hAnsi="Times New Roman" w:eastAsia="仿宋_GB2312"/>
          <w:bCs/>
          <w:color w:val="auto"/>
          <w:szCs w:val="21"/>
        </w:rPr>
      </w:pPr>
    </w:p>
    <w:p>
      <w:pPr>
        <w:adjustRightInd w:val="0"/>
        <w:spacing w:line="360" w:lineRule="auto"/>
        <w:ind w:firstLine="560" w:firstLineChars="200"/>
        <w:rPr>
          <w:rFonts w:ascii="Times New Roman" w:hAnsi="Times New Roman" w:eastAsia="黑体"/>
          <w:bCs/>
          <w:color w:val="auto"/>
          <w:sz w:val="28"/>
          <w:szCs w:val="28"/>
        </w:rPr>
        <w:sectPr>
          <w:pgSz w:w="11906" w:h="16838"/>
          <w:pgMar w:top="1531" w:right="1134" w:bottom="1021" w:left="1531" w:header="851" w:footer="992" w:gutter="0"/>
          <w:cols w:space="0" w:num="1"/>
          <w:docGrid w:type="lines" w:linePitch="312" w:charSpace="0"/>
        </w:sectPr>
      </w:pPr>
    </w:p>
    <w:p>
      <w:pPr>
        <w:numPr>
          <w:ilvl w:val="0"/>
          <w:numId w:val="1"/>
        </w:numPr>
        <w:adjustRightInd w:val="0"/>
        <w:spacing w:line="360" w:lineRule="auto"/>
        <w:ind w:firstLine="600" w:firstLineChars="200"/>
        <w:rPr>
          <w:rFonts w:ascii="Times New Roman" w:hAnsi="Times New Roman" w:eastAsia="黑体"/>
          <w:bCs/>
          <w:color w:val="auto"/>
          <w:sz w:val="30"/>
          <w:szCs w:val="30"/>
        </w:rPr>
      </w:pPr>
      <w:r>
        <w:rPr>
          <w:rFonts w:ascii="Times New Roman" w:hAnsi="Times New Roman" w:eastAsia="黑体"/>
          <w:bCs/>
          <w:color w:val="auto"/>
          <w:sz w:val="30"/>
          <w:szCs w:val="30"/>
        </w:rPr>
        <w:t>指导性教学计划进程安排</w:t>
      </w:r>
    </w:p>
    <w:p>
      <w:pPr>
        <w:adjustRightInd w:val="0"/>
        <w:snapToGrid w:val="0"/>
        <w:spacing w:line="360" w:lineRule="auto"/>
        <w:ind w:firstLine="600" w:firstLineChars="200"/>
        <w:rPr>
          <w:rFonts w:ascii="Times New Roman" w:hAnsi="Times New Roman" w:eastAsia="楷体_GB2312"/>
          <w:bCs/>
          <w:color w:val="auto"/>
          <w:sz w:val="30"/>
          <w:szCs w:val="30"/>
        </w:rPr>
      </w:pPr>
      <w:r>
        <w:rPr>
          <w:rFonts w:ascii="Times New Roman" w:hAnsi="Times New Roman" w:eastAsia="楷体_GB2312"/>
          <w:bCs/>
          <w:color w:val="auto"/>
          <w:sz w:val="30"/>
          <w:szCs w:val="30"/>
        </w:rPr>
        <w:t>（一）课内教学环节</w:t>
      </w:r>
    </w:p>
    <w:p>
      <w:pPr>
        <w:adjustRightInd w:val="0"/>
        <w:snapToGrid w:val="0"/>
        <w:spacing w:line="360" w:lineRule="auto"/>
        <w:rPr>
          <w:rFonts w:ascii="Times New Roman" w:hAnsi="Times New Roman"/>
          <w:bCs/>
          <w:color w:val="auto"/>
          <w:szCs w:val="21"/>
        </w:rPr>
      </w:pPr>
      <w:r>
        <w:rPr>
          <w:rFonts w:ascii="Times New Roman" w:hAnsi="Times New Roman" w:eastAsia="黑体"/>
          <w:color w:val="auto"/>
          <w:kern w:val="0"/>
          <w:sz w:val="24"/>
        </w:rPr>
        <w:t>表</w:t>
      </w:r>
      <w:r>
        <w:rPr>
          <w:rFonts w:hint="eastAsia" w:ascii="宋体" w:hAnsi="宋体" w:cs="宋体"/>
          <w:color w:val="auto"/>
          <w:kern w:val="0"/>
          <w:sz w:val="24"/>
        </w:rPr>
        <w:t>Ⅰ</w:t>
      </w:r>
      <w:r>
        <w:rPr>
          <w:rFonts w:ascii="Times New Roman" w:hAnsi="Times New Roman" w:eastAsia="黑体"/>
          <w:color w:val="auto"/>
          <w:kern w:val="0"/>
          <w:sz w:val="24"/>
        </w:rPr>
        <w:t>必修</w:t>
      </w:r>
      <w:r>
        <w:rPr>
          <w:rFonts w:ascii="Times New Roman" w:hAnsi="Times New Roman" w:eastAsia="黑体"/>
          <w:bCs/>
          <w:color w:val="auto"/>
          <w:sz w:val="24"/>
        </w:rPr>
        <w:t>课课程设置与教学进程</w:t>
      </w:r>
      <w:r>
        <w:rPr>
          <w:rFonts w:ascii="Times New Roman" w:hAnsi="Times New Roman" w:eastAsia="黑体"/>
          <w:color w:val="auto"/>
          <w:kern w:val="0"/>
          <w:sz w:val="24"/>
        </w:rPr>
        <w:t>一览表                                                                农业电气化专业</w:t>
      </w:r>
    </w:p>
    <w:tbl>
      <w:tblPr>
        <w:tblStyle w:val="17"/>
        <w:tblW w:w="14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729"/>
        <w:gridCol w:w="355"/>
        <w:gridCol w:w="132"/>
        <w:gridCol w:w="3522"/>
        <w:gridCol w:w="746"/>
        <w:gridCol w:w="758"/>
        <w:gridCol w:w="757"/>
        <w:gridCol w:w="555"/>
        <w:gridCol w:w="558"/>
        <w:gridCol w:w="553"/>
        <w:gridCol w:w="553"/>
        <w:gridCol w:w="555"/>
        <w:gridCol w:w="558"/>
        <w:gridCol w:w="555"/>
        <w:gridCol w:w="555"/>
        <w:gridCol w:w="555"/>
        <w:gridCol w:w="581"/>
        <w:gridCol w:w="1189"/>
      </w:tblGrid>
      <w:tr>
        <w:tblPrEx>
          <w:tblCellMar>
            <w:top w:w="0" w:type="dxa"/>
            <w:left w:w="108" w:type="dxa"/>
            <w:bottom w:w="0" w:type="dxa"/>
            <w:right w:w="108" w:type="dxa"/>
          </w:tblCellMar>
        </w:tblPrEx>
        <w:trPr>
          <w:cantSplit/>
          <w:trHeight w:val="454" w:hRule="atLeast"/>
        </w:trPr>
        <w:tc>
          <w:tcPr>
            <w:tcW w:w="623"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类型</w:t>
            </w:r>
          </w:p>
        </w:tc>
        <w:tc>
          <w:tcPr>
            <w:tcW w:w="1216" w:type="dxa"/>
            <w:gridSpan w:val="3"/>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课程代码</w:t>
            </w:r>
          </w:p>
        </w:tc>
        <w:tc>
          <w:tcPr>
            <w:tcW w:w="3522"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746"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2628" w:type="dxa"/>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学时</w:t>
            </w:r>
          </w:p>
        </w:tc>
        <w:tc>
          <w:tcPr>
            <w:tcW w:w="4465" w:type="dxa"/>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各学期学时分配</w:t>
            </w:r>
          </w:p>
        </w:tc>
        <w:tc>
          <w:tcPr>
            <w:tcW w:w="1189" w:type="dxa"/>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216" w:type="dxa"/>
            <w:gridSpan w:val="3"/>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522"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746"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总学时</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理论</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实验</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线上</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一</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二</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三</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四</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五</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六</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七</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八</w:t>
            </w:r>
          </w:p>
        </w:tc>
        <w:tc>
          <w:tcPr>
            <w:tcW w:w="1189" w:type="dxa"/>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restart"/>
            <w:tcBorders>
              <w:top w:val="single" w:color="auto" w:sz="6" w:space="0"/>
              <w:left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通</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识</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程</w:t>
            </w:r>
          </w:p>
          <w:p>
            <w:pPr>
              <w:spacing w:line="240" w:lineRule="exact"/>
              <w:jc w:val="center"/>
              <w:rPr>
                <w:rFonts w:ascii="Times New Roman" w:hAnsi="Times New Roman" w:eastAsia="仿宋_GB2312"/>
                <w:b/>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马克思主义基本原理概论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Principle of Marxism</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思想道德修养与法律基础</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Moral Education and Law Basics</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中国近现代史纲要</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Summary of Chinese Modern and Contemporary History</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毛泽东思想和中国特色社会主义理论体系概论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Mao Zedong Thought and Socialist Theory System with Chinese Characteristics</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形势与政策</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Situation and Policy</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hint="eastAsia" w:ascii="宋体" w:hAnsi="宋体" w:cs="宋体"/>
                <w:bCs/>
                <w:color w:val="auto"/>
                <w:sz w:val="18"/>
                <w:szCs w:val="18"/>
              </w:rPr>
              <w:t>Ⅰ</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hint="eastAsia" w:ascii="宋体" w:hAnsi="宋体" w:cs="宋体"/>
                <w:bCs/>
                <w:color w:val="auto"/>
                <w:sz w:val="18"/>
                <w:szCs w:val="18"/>
              </w:rPr>
              <w:t>Ⅰ</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4040007</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hint="eastAsia" w:ascii="宋体" w:hAnsi="宋体" w:cs="宋体"/>
                <w:bCs/>
                <w:color w:val="auto"/>
                <w:sz w:val="18"/>
                <w:szCs w:val="18"/>
              </w:rPr>
              <w:t>Ⅱ</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hint="eastAsia" w:ascii="宋体" w:hAnsi="宋体" w:cs="宋体"/>
                <w:bCs/>
                <w:color w:val="auto"/>
                <w:sz w:val="18"/>
                <w:szCs w:val="18"/>
              </w:rPr>
              <w:t>Ⅱ</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4040008</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hint="eastAsia" w:ascii="宋体" w:hAnsi="宋体" w:cs="宋体"/>
                <w:bCs/>
                <w:color w:val="auto"/>
                <w:sz w:val="18"/>
                <w:szCs w:val="18"/>
              </w:rPr>
              <w:t>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hint="eastAsia" w:ascii="宋体" w:hAnsi="宋体" w:cs="宋体"/>
                <w:bCs/>
                <w:color w:val="auto"/>
                <w:sz w:val="18"/>
                <w:szCs w:val="18"/>
              </w:rPr>
              <w:t>Ⅲ</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4040009</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大学英语</w:t>
            </w:r>
            <w:r>
              <w:rPr>
                <w:rFonts w:hint="eastAsia" w:ascii="宋体" w:hAnsi="宋体" w:cs="宋体"/>
                <w:bCs/>
                <w:color w:val="auto"/>
                <w:sz w:val="18"/>
                <w:szCs w:val="18"/>
              </w:rPr>
              <w:t>Ⅳ</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College English</w:t>
            </w:r>
            <w:r>
              <w:rPr>
                <w:rFonts w:hint="eastAsia" w:ascii="宋体" w:hAnsi="宋体" w:cs="宋体"/>
                <w:bCs/>
                <w:color w:val="auto"/>
                <w:sz w:val="18"/>
                <w:szCs w:val="18"/>
              </w:rPr>
              <w:t>Ⅳ</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hint="eastAsia" w:ascii="宋体" w:hAnsi="宋体" w:cs="宋体"/>
                <w:bCs/>
                <w:color w:val="auto"/>
                <w:sz w:val="18"/>
                <w:szCs w:val="18"/>
              </w:rPr>
              <w:t>Ⅰ</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Education</w:t>
            </w:r>
            <w:r>
              <w:rPr>
                <w:rFonts w:hint="eastAsia" w:ascii="宋体" w:hAnsi="宋体" w:cs="宋体"/>
                <w:bCs/>
                <w:color w:val="auto"/>
                <w:sz w:val="18"/>
                <w:szCs w:val="18"/>
              </w:rPr>
              <w:t>Ⅰ</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hint="eastAsia" w:ascii="宋体" w:hAnsi="宋体" w:cs="宋体"/>
                <w:bCs/>
                <w:color w:val="auto"/>
                <w:sz w:val="18"/>
                <w:szCs w:val="18"/>
              </w:rPr>
              <w:t>Ⅱ</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Education</w:t>
            </w:r>
            <w:r>
              <w:rPr>
                <w:rFonts w:hint="eastAsia" w:ascii="宋体" w:hAnsi="宋体" w:cs="宋体"/>
                <w:bCs/>
                <w:color w:val="auto"/>
                <w:sz w:val="18"/>
                <w:szCs w:val="18"/>
              </w:rPr>
              <w:t>Ⅱ</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hint="eastAsia" w:ascii="宋体" w:hAnsi="宋体" w:cs="宋体"/>
                <w:bCs/>
                <w:color w:val="auto"/>
                <w:sz w:val="18"/>
                <w:szCs w:val="18"/>
              </w:rPr>
              <w:t>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Education</w:t>
            </w:r>
            <w:r>
              <w:rPr>
                <w:rFonts w:hint="eastAsia" w:ascii="宋体" w:hAnsi="宋体" w:cs="宋体"/>
                <w:bCs/>
                <w:color w:val="auto"/>
                <w:sz w:val="18"/>
                <w:szCs w:val="18"/>
              </w:rPr>
              <w:t>Ⅲ</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体育</w:t>
            </w:r>
            <w:r>
              <w:rPr>
                <w:rFonts w:hint="eastAsia" w:ascii="宋体" w:hAnsi="宋体" w:cs="宋体"/>
                <w:bCs/>
                <w:color w:val="auto"/>
                <w:sz w:val="18"/>
                <w:szCs w:val="18"/>
              </w:rPr>
              <w:t>Ⅳ</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Education</w:t>
            </w:r>
            <w:r>
              <w:rPr>
                <w:rFonts w:hint="eastAsia" w:ascii="宋体" w:hAnsi="宋体" w:cs="宋体"/>
                <w:bCs/>
                <w:color w:val="auto"/>
                <w:sz w:val="18"/>
                <w:szCs w:val="18"/>
              </w:rPr>
              <w:t>Ⅳ</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大学生心理健康教育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Mental Health Education</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大学生职业生涯规划</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Career Planning for University Students</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创业基础</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Entrepreneurship</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76" w:lineRule="auto"/>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军事理论</w:t>
            </w:r>
          </w:p>
          <w:p>
            <w:pPr>
              <w:adjustRightInd w:val="0"/>
              <w:snapToGrid w:val="0"/>
              <w:spacing w:line="276" w:lineRule="auto"/>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Military Theory</w:t>
            </w:r>
          </w:p>
        </w:tc>
        <w:tc>
          <w:tcPr>
            <w:tcW w:w="746"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76" w:lineRule="auto"/>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4738" w:type="dxa"/>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小计</w:t>
            </w:r>
          </w:p>
        </w:tc>
        <w:tc>
          <w:tcPr>
            <w:tcW w:w="746"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31.5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580</w:t>
            </w:r>
          </w:p>
        </w:tc>
        <w:tc>
          <w:tcPr>
            <w:tcW w:w="757"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580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124</w:t>
            </w:r>
          </w:p>
        </w:tc>
        <w:tc>
          <w:tcPr>
            <w:tcW w:w="553"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224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92</w:t>
            </w:r>
          </w:p>
        </w:tc>
        <w:tc>
          <w:tcPr>
            <w:tcW w:w="558"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vAlign w:val="center"/>
          </w:tcPr>
          <w:p>
            <w:pPr>
              <w:spacing w:line="276" w:lineRule="auto"/>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restart"/>
            <w:tcBorders>
              <w:top w:val="single" w:color="auto" w:sz="6" w:space="0"/>
              <w:left w:val="single" w:color="auto" w:sz="8" w:space="0"/>
              <w:bottom w:val="single" w:color="auto" w:sz="6" w:space="0"/>
              <w:right w:val="single" w:color="auto" w:sz="6" w:space="0"/>
            </w:tcBorders>
            <w:textDirection w:val="tbRlV"/>
            <w:vAlign w:val="center"/>
          </w:tcPr>
          <w:p>
            <w:pPr>
              <w:spacing w:line="240" w:lineRule="exact"/>
              <w:jc w:val="center"/>
              <w:rPr>
                <w:rFonts w:ascii="Times New Roman" w:hAnsi="Times New Roman" w:eastAsia="仿宋_GB2312"/>
                <w:b/>
                <w:color w:val="auto"/>
                <w:spacing w:val="40"/>
                <w:sz w:val="18"/>
                <w:szCs w:val="18"/>
              </w:rPr>
            </w:pPr>
            <w:r>
              <w:rPr>
                <w:rFonts w:ascii="Times New Roman" w:hAnsi="Times New Roman" w:eastAsia="仿宋_GB2312"/>
                <w:b/>
                <w:color w:val="auto"/>
                <w:spacing w:val="40"/>
                <w:sz w:val="18"/>
                <w:szCs w:val="18"/>
              </w:rPr>
              <w:t>学科（专业）基础课</w:t>
            </w: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4050049</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农业电气化工程导论</w:t>
            </w:r>
          </w:p>
          <w:p>
            <w:pPr>
              <w:adjustRightInd w:val="0"/>
              <w:snapToGrid w:val="0"/>
              <w:spacing w:line="240" w:lineRule="exact"/>
              <w:jc w:val="left"/>
              <w:rPr>
                <w:rFonts w:ascii="Times New Roman" w:hAnsi="Times New Roman" w:eastAsia="仿宋_GB2312"/>
                <w:b/>
                <w:color w:val="auto"/>
                <w:sz w:val="18"/>
                <w:szCs w:val="18"/>
              </w:rPr>
            </w:pPr>
            <w:r>
              <w:rPr>
                <w:rFonts w:ascii="Times New Roman" w:hAnsi="Times New Roman" w:eastAsia="仿宋_GB2312"/>
                <w:bCs/>
                <w:color w:val="auto"/>
                <w:sz w:val="18"/>
                <w:szCs w:val="18"/>
              </w:rPr>
              <w:t>Introduction to Agricultural Electrification Engineering</w:t>
            </w:r>
          </w:p>
        </w:tc>
        <w:tc>
          <w:tcPr>
            <w:tcW w:w="74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7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5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4050113</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高等数学（理工类）（上）</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Advanced Mathematics (I)</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72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72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4050042</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工程图学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Engineering Graphics</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64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16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4050569</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生物工程基础</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Basis of Bioengineering</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4050114</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C语言程序设计</w:t>
            </w:r>
            <w:r>
              <w:rPr>
                <w:rFonts w:hint="eastAsia" w:ascii="宋体" w:hAnsi="宋体" w:cs="宋体"/>
                <w:bCs/>
                <w:color w:val="auto"/>
                <w:sz w:val="18"/>
                <w:szCs w:val="18"/>
              </w:rPr>
              <w:t>C</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Design of C language Program</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4050212</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高等数学（理工类）（下）</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Advanced Mathematics (ii)</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72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72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4050122</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线性代数A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Linear Algebra</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4050241</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普通物理</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Physics</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64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4050269</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物理实验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Experiment</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1.5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24</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4050508</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复变函数与积分变换</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Complex Function and Integral </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Transformation</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48</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4050423</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电路分析</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Circuit Analysis</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64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4050424</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电路分析实验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Circuit analysis experiment</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1.5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24</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4050433</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模拟电子技术C</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Analog Electronic Technology </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56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16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4050436</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数字电子技术B</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Digital Electronic Technology</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2.5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40</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8</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4050123</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概率论与数理统计A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Probability Theory and Mathematical Statistics</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3.5</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56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56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4050499</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计算方法</w:t>
            </w:r>
            <w:r>
              <w:rPr>
                <w:rFonts w:hint="eastAsia" w:ascii="Times New Roman" w:hAnsi="Times New Roman" w:eastAsia="仿宋_GB2312"/>
                <w:bCs/>
                <w:color w:val="auto"/>
                <w:sz w:val="18"/>
                <w:szCs w:val="18"/>
              </w:rPr>
              <w:t>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Calculation Method</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4738" w:type="dxa"/>
            <w:gridSpan w:val="4"/>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小计</w:t>
            </w:r>
          </w:p>
        </w:tc>
        <w:tc>
          <w:tcPr>
            <w:tcW w:w="746"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bCs/>
                <w:color w:val="auto"/>
                <w:sz w:val="18"/>
                <w:szCs w:val="18"/>
              </w:rPr>
              <w:t>46.5</w:t>
            </w:r>
          </w:p>
        </w:tc>
        <w:tc>
          <w:tcPr>
            <w:tcW w:w="7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744</w:t>
            </w:r>
          </w:p>
        </w:tc>
        <w:tc>
          <w:tcPr>
            <w:tcW w:w="75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640</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104</w:t>
            </w:r>
          </w:p>
        </w:tc>
        <w:tc>
          <w:tcPr>
            <w:tcW w:w="5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184</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240</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192</w:t>
            </w:r>
          </w:p>
        </w:tc>
        <w:tc>
          <w:tcPr>
            <w:tcW w:w="5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40</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88</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581"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1189"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专</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业</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课</w:t>
            </w:r>
          </w:p>
        </w:tc>
        <w:tc>
          <w:tcPr>
            <w:tcW w:w="1216" w:type="dxa"/>
            <w:gridSpan w:val="3"/>
            <w:tcBorders>
              <w:top w:val="single" w:color="auto" w:sz="8"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4060348</w:t>
            </w:r>
          </w:p>
        </w:tc>
        <w:tc>
          <w:tcPr>
            <w:tcW w:w="3522"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rPr>
              <w:t>单片机原理与应用</w:t>
            </w:r>
            <w:r>
              <w:rPr>
                <w:rFonts w:hint="eastAsia" w:ascii="Times New Roman" w:hAnsi="Times New Roman" w:eastAsia="仿宋_GB2312"/>
                <w:bCs/>
                <w:color w:val="auto"/>
                <w:sz w:val="18"/>
                <w:szCs w:val="18"/>
                <w:lang w:val="en-US" w:eastAsia="zh-CN"/>
              </w:rPr>
              <w:t>A</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Principle and Application of MCU</w:t>
            </w:r>
          </w:p>
        </w:tc>
        <w:tc>
          <w:tcPr>
            <w:tcW w:w="746"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3.5</w:t>
            </w:r>
          </w:p>
        </w:tc>
        <w:tc>
          <w:tcPr>
            <w:tcW w:w="758"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56</w:t>
            </w:r>
          </w:p>
        </w:tc>
        <w:tc>
          <w:tcPr>
            <w:tcW w:w="757"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555"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55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555"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4050692</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电机与拖动基础A</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Motor and Drag Foundation</w:t>
            </w:r>
          </w:p>
        </w:tc>
        <w:tc>
          <w:tcPr>
            <w:tcW w:w="74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4.5</w:t>
            </w:r>
          </w:p>
        </w:tc>
        <w:tc>
          <w:tcPr>
            <w:tcW w:w="7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72</w:t>
            </w:r>
          </w:p>
        </w:tc>
        <w:tc>
          <w:tcPr>
            <w:tcW w:w="7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24</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72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4050693</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电力电子技术A</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Power Electronics Technology</w:t>
            </w:r>
          </w:p>
        </w:tc>
        <w:tc>
          <w:tcPr>
            <w:tcW w:w="74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3.5</w:t>
            </w:r>
          </w:p>
        </w:tc>
        <w:tc>
          <w:tcPr>
            <w:tcW w:w="7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56</w:t>
            </w:r>
          </w:p>
        </w:tc>
        <w:tc>
          <w:tcPr>
            <w:tcW w:w="7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5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4060361</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自动控制原理</w:t>
            </w:r>
            <w:r>
              <w:rPr>
                <w:rFonts w:hint="eastAsia" w:ascii="Times New Roman" w:hAnsi="Times New Roman" w:eastAsia="仿宋_GB2312"/>
                <w:bCs/>
                <w:color w:val="auto"/>
                <w:sz w:val="18"/>
                <w:szCs w:val="18"/>
              </w:rPr>
              <w:t>B</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Principles of Automatic Control</w:t>
            </w:r>
          </w:p>
        </w:tc>
        <w:tc>
          <w:tcPr>
            <w:tcW w:w="74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5.0</w:t>
            </w:r>
          </w:p>
        </w:tc>
        <w:tc>
          <w:tcPr>
            <w:tcW w:w="7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80</w:t>
            </w:r>
          </w:p>
        </w:tc>
        <w:tc>
          <w:tcPr>
            <w:tcW w:w="7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64</w:t>
            </w:r>
          </w:p>
        </w:tc>
        <w:tc>
          <w:tcPr>
            <w:tcW w:w="5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216"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4060351</w:t>
            </w:r>
          </w:p>
        </w:tc>
        <w:tc>
          <w:tcPr>
            <w:tcW w:w="352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电气控制与PLC（A）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Electrical Control and PLC</w:t>
            </w:r>
          </w:p>
        </w:tc>
        <w:tc>
          <w:tcPr>
            <w:tcW w:w="74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4.5</w:t>
            </w:r>
          </w:p>
        </w:tc>
        <w:tc>
          <w:tcPr>
            <w:tcW w:w="7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72</w:t>
            </w:r>
          </w:p>
        </w:tc>
        <w:tc>
          <w:tcPr>
            <w:tcW w:w="75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23"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4738" w:type="dxa"/>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小计</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21.0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336</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96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128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136</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72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0</w:t>
            </w: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361"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必修课合计</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99.0</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1660</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1460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200</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308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284</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308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224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72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52" w:type="dxa"/>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选修课</w:t>
            </w:r>
          </w:p>
        </w:tc>
        <w:tc>
          <w:tcPr>
            <w:tcW w:w="4009"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专业拓展课</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352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112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96</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352" w:type="dxa"/>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4009"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ind w:left="-9" w:leftChars="-33" w:hanging="60" w:hangingChars="33"/>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通识课程（选修）</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12</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192</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361"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课内学时、学分总合计</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133</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2204</w:t>
            </w: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308</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464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372</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304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248</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160</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7" w:type="dxa"/>
            <w:gridSpan w:val="3"/>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实践教学</w:t>
            </w:r>
          </w:p>
        </w:tc>
        <w:tc>
          <w:tcPr>
            <w:tcW w:w="365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37</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707" w:type="dxa"/>
            <w:gridSpan w:val="3"/>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65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周数</w:t>
            </w:r>
          </w:p>
        </w:tc>
        <w:tc>
          <w:tcPr>
            <w:tcW w:w="74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40+（17.5周+8学时）</w:t>
            </w:r>
          </w:p>
        </w:tc>
        <w:tc>
          <w:tcPr>
            <w:tcW w:w="7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75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55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5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555"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p>
        </w:tc>
        <w:tc>
          <w:tcPr>
            <w:tcW w:w="1189"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361" w:type="dxa"/>
            <w:gridSpan w:val="5"/>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各学期平均周学时</w:t>
            </w:r>
          </w:p>
        </w:tc>
        <w:tc>
          <w:tcPr>
            <w:tcW w:w="746"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7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757"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5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22.0</w:t>
            </w:r>
          </w:p>
        </w:tc>
        <w:tc>
          <w:tcPr>
            <w:tcW w:w="553"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27.3</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24.8</w:t>
            </w:r>
          </w:p>
        </w:tc>
        <w:tc>
          <w:tcPr>
            <w:tcW w:w="558"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24.8</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23.4</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16.5</w:t>
            </w:r>
          </w:p>
        </w:tc>
        <w:tc>
          <w:tcPr>
            <w:tcW w:w="555"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13.3</w:t>
            </w:r>
          </w:p>
        </w:tc>
        <w:tc>
          <w:tcPr>
            <w:tcW w:w="581" w:type="dxa"/>
            <w:tcBorders>
              <w:top w:val="single" w:color="auto" w:sz="6" w:space="0"/>
              <w:left w:val="single" w:color="auto" w:sz="6" w:space="0"/>
              <w:bottom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189"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bl>
    <w:p>
      <w:pPr>
        <w:adjustRightInd w:val="0"/>
        <w:snapToGrid w:val="0"/>
        <w:spacing w:before="120" w:beforeLines="50" w:line="360" w:lineRule="auto"/>
        <w:rPr>
          <w:rFonts w:ascii="Times New Roman" w:hAnsi="Times New Roman" w:eastAsia="仿宋_GB2312"/>
          <w:bCs/>
          <w:color w:val="auto"/>
          <w:kern w:val="0"/>
          <w:szCs w:val="21"/>
        </w:rPr>
      </w:pPr>
    </w:p>
    <w:p>
      <w:pPr>
        <w:adjustRightInd w:val="0"/>
        <w:snapToGrid w:val="0"/>
        <w:spacing w:before="120" w:beforeLines="50" w:line="360" w:lineRule="auto"/>
        <w:ind w:firstLine="480" w:firstLineChars="200"/>
        <w:rPr>
          <w:rFonts w:ascii="Times New Roman" w:hAnsi="Times New Roman" w:eastAsia="黑体"/>
          <w:bCs/>
          <w:color w:val="auto"/>
          <w:sz w:val="24"/>
        </w:rPr>
      </w:pPr>
      <w:r>
        <w:rPr>
          <w:rFonts w:ascii="Times New Roman" w:hAnsi="Times New Roman" w:eastAsia="黑体"/>
          <w:bCs/>
          <w:color w:val="auto"/>
          <w:kern w:val="0"/>
          <w:sz w:val="24"/>
        </w:rPr>
        <w:t>表</w:t>
      </w:r>
      <w:r>
        <w:rPr>
          <w:rFonts w:hint="eastAsia" w:ascii="宋体" w:hAnsi="宋体" w:cs="宋体"/>
          <w:bCs/>
          <w:color w:val="auto"/>
          <w:kern w:val="0"/>
          <w:sz w:val="24"/>
        </w:rPr>
        <w:t>Ⅱ</w:t>
      </w:r>
      <w:r>
        <w:rPr>
          <w:rFonts w:ascii="Times New Roman" w:hAnsi="Times New Roman" w:eastAsia="黑体"/>
          <w:bCs/>
          <w:color w:val="auto"/>
          <w:kern w:val="0"/>
          <w:sz w:val="24"/>
        </w:rPr>
        <w:t>选修课课程设置一览表                                                                      农业电气化专业</w:t>
      </w:r>
    </w:p>
    <w:tbl>
      <w:tblPr>
        <w:tblStyle w:val="17"/>
        <w:tblW w:w="1438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Layout w:type="fixed"/>
        <w:tblCellMar>
          <w:top w:w="0" w:type="dxa"/>
          <w:left w:w="108" w:type="dxa"/>
          <w:bottom w:w="0" w:type="dxa"/>
          <w:right w:w="108" w:type="dxa"/>
        </w:tblCellMar>
      </w:tblPr>
      <w:tblGrid>
        <w:gridCol w:w="826"/>
        <w:gridCol w:w="1139"/>
        <w:gridCol w:w="4070"/>
        <w:gridCol w:w="849"/>
        <w:gridCol w:w="852"/>
        <w:gridCol w:w="849"/>
        <w:gridCol w:w="708"/>
        <w:gridCol w:w="711"/>
        <w:gridCol w:w="990"/>
        <w:gridCol w:w="509"/>
        <w:gridCol w:w="883"/>
        <w:gridCol w:w="200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类型</w:t>
            </w:r>
          </w:p>
        </w:tc>
        <w:tc>
          <w:tcPr>
            <w:tcW w:w="1139"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课程代码</w:t>
            </w:r>
          </w:p>
        </w:tc>
        <w:tc>
          <w:tcPr>
            <w:tcW w:w="4070"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849"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3120" w:type="dxa"/>
            <w:gridSpan w:val="4"/>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学时分配</w:t>
            </w:r>
          </w:p>
        </w:tc>
        <w:tc>
          <w:tcPr>
            <w:tcW w:w="990"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开设学期</w:t>
            </w:r>
          </w:p>
        </w:tc>
        <w:tc>
          <w:tcPr>
            <w:tcW w:w="1392" w:type="dxa"/>
            <w:gridSpan w:val="2"/>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模块最低选修</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学时学分</w:t>
            </w:r>
          </w:p>
        </w:tc>
        <w:tc>
          <w:tcPr>
            <w:tcW w:w="2003"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开课单位</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1139" w:type="dxa"/>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4070" w:type="dxa"/>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849" w:type="dxa"/>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852"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总学时</w:t>
            </w:r>
          </w:p>
        </w:tc>
        <w:tc>
          <w:tcPr>
            <w:tcW w:w="849"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理论</w:t>
            </w:r>
          </w:p>
        </w:tc>
        <w:tc>
          <w:tcPr>
            <w:tcW w:w="708"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实验</w:t>
            </w:r>
          </w:p>
        </w:tc>
        <w:tc>
          <w:tcPr>
            <w:tcW w:w="711"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线上</w:t>
            </w:r>
          </w:p>
        </w:tc>
        <w:tc>
          <w:tcPr>
            <w:tcW w:w="990" w:type="dxa"/>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1392" w:type="dxa"/>
            <w:gridSpan w:val="2"/>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c>
          <w:tcPr>
            <w:tcW w:w="2003" w:type="dxa"/>
            <w:vMerge w:val="continue"/>
            <w:shd w:val="clear" w:color="auto" w:fill="E6E6E6"/>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专业拓展课程（选修）</w:t>
            </w: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4070569</w:t>
            </w:r>
          </w:p>
        </w:tc>
        <w:tc>
          <w:tcPr>
            <w:tcW w:w="4070" w:type="dxa"/>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color w:val="auto"/>
                <w:kern w:val="0"/>
                <w:sz w:val="18"/>
                <w:szCs w:val="18"/>
              </w:rPr>
              <w:t>▲</w:t>
            </w:r>
            <w:r>
              <w:rPr>
                <w:rFonts w:hint="eastAsia" w:ascii="Times New Roman" w:hAnsi="Times New Roman" w:eastAsia="仿宋_GB2312"/>
                <w:bCs/>
                <w:color w:val="auto"/>
                <w:sz w:val="18"/>
                <w:szCs w:val="18"/>
                <w:lang w:eastAsia="zh-CN"/>
              </w:rPr>
              <w:t>工程化学B</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Engineering Chemistry</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2.5</w:t>
            </w:r>
          </w:p>
        </w:tc>
        <w:tc>
          <w:tcPr>
            <w:tcW w:w="852"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40</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32</w:t>
            </w:r>
          </w:p>
        </w:tc>
        <w:tc>
          <w:tcPr>
            <w:tcW w:w="708"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8</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w:t>
            </w:r>
          </w:p>
        </w:tc>
        <w:tc>
          <w:tcPr>
            <w:tcW w:w="1392" w:type="dxa"/>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公共模块</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（至少取得17学分）</w:t>
            </w: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化药学院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4070746</w:t>
            </w:r>
          </w:p>
        </w:tc>
        <w:tc>
          <w:tcPr>
            <w:tcW w:w="4070" w:type="dxa"/>
            <w:vAlign w:val="center"/>
          </w:tcPr>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ascii="Times New Roman" w:hAnsi="Times New Roman" w:eastAsia="仿宋_GB2312"/>
                <w:bCs/>
                <w:color w:val="auto"/>
                <w:sz w:val="18"/>
                <w:szCs w:val="18"/>
              </w:rPr>
              <w:t>虚拟仪器技术*</w:t>
            </w:r>
          </w:p>
          <w:p>
            <w:pPr>
              <w:widowControl/>
              <w:spacing w:line="240" w:lineRule="exact"/>
              <w:jc w:val="left"/>
              <w:rPr>
                <w:rFonts w:ascii="Times New Roman" w:hAnsi="Times New Roman" w:eastAsia="仿宋_GB2312"/>
                <w:color w:val="auto"/>
                <w:kern w:val="0"/>
                <w:sz w:val="18"/>
                <w:szCs w:val="18"/>
              </w:rPr>
            </w:pPr>
            <w:r>
              <w:rPr>
                <w:rFonts w:ascii="Times New Roman" w:hAnsi="Times New Roman" w:eastAsia="仿宋_GB2312"/>
                <w:bCs/>
                <w:color w:val="auto"/>
                <w:sz w:val="18"/>
                <w:szCs w:val="18"/>
              </w:rPr>
              <w:t>Virtual Instrument Technology</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1.0</w:t>
            </w:r>
          </w:p>
        </w:tc>
        <w:tc>
          <w:tcPr>
            <w:tcW w:w="852"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08"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4070671</w:t>
            </w:r>
          </w:p>
        </w:tc>
        <w:tc>
          <w:tcPr>
            <w:tcW w:w="4070" w:type="dxa"/>
            <w:vAlign w:val="center"/>
          </w:tcPr>
          <w:p>
            <w:pPr>
              <w:spacing w:line="240" w:lineRule="exact"/>
              <w:jc w:val="lef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电磁场</w:t>
            </w:r>
            <w:r>
              <w:rPr>
                <w:rFonts w:hint="eastAsia" w:ascii="Times New Roman" w:hAnsi="Times New Roman" w:eastAsia="仿宋_GB2312"/>
                <w:bCs/>
                <w:color w:val="auto"/>
                <w:sz w:val="18"/>
                <w:szCs w:val="18"/>
                <w:lang w:val="en-US" w:eastAsia="zh-CN"/>
              </w:rPr>
              <w:t>B</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Electromagnetic Field</w:t>
            </w:r>
          </w:p>
        </w:tc>
        <w:tc>
          <w:tcPr>
            <w:tcW w:w="849" w:type="dxa"/>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3.5</w:t>
            </w:r>
          </w:p>
        </w:tc>
        <w:tc>
          <w:tcPr>
            <w:tcW w:w="852" w:type="dxa"/>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56</w:t>
            </w:r>
          </w:p>
        </w:tc>
        <w:tc>
          <w:tcPr>
            <w:tcW w:w="849" w:type="dxa"/>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56</w:t>
            </w:r>
          </w:p>
        </w:tc>
        <w:tc>
          <w:tcPr>
            <w:tcW w:w="708" w:type="dxa"/>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3</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4070688</w:t>
            </w:r>
          </w:p>
        </w:tc>
        <w:tc>
          <w:tcPr>
            <w:tcW w:w="4070" w:type="dxa"/>
            <w:vAlign w:val="center"/>
          </w:tcPr>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hint="eastAsia" w:ascii="Times New Roman" w:hAnsi="Times New Roman" w:eastAsia="仿宋_GB2312"/>
                <w:bCs/>
                <w:color w:val="auto"/>
                <w:sz w:val="18"/>
                <w:szCs w:val="18"/>
                <w:lang w:eastAsia="zh-CN"/>
              </w:rPr>
              <w:t>电子工艺及线路绘图B</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Electronic Process and Circuit Drawing</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852"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08"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4070747</w:t>
            </w:r>
          </w:p>
        </w:tc>
        <w:tc>
          <w:tcPr>
            <w:tcW w:w="4070"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液压元件和控制技术</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Pneumatic and Hydraulic Control Technology</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3.0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48</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40</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8</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rPr>
              <w:t>4</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4070663</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Java程序设计</w:t>
            </w:r>
            <w:r>
              <w:rPr>
                <w:rFonts w:hint="eastAsia" w:ascii="Times New Roman" w:hAnsi="Times New Roman" w:eastAsia="仿宋_GB2312"/>
                <w:bCs/>
                <w:color w:val="auto"/>
                <w:sz w:val="18"/>
                <w:szCs w:val="18"/>
                <w:lang w:val="en-US" w:eastAsia="zh-CN"/>
              </w:rPr>
              <w:t>B</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Design of Java Programming</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852"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08"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电气工程专业英语</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English for Electrical Engineering</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2.0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32</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32</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4070661</w:t>
            </w:r>
          </w:p>
        </w:tc>
        <w:tc>
          <w:tcPr>
            <w:tcW w:w="4070" w:type="dxa"/>
            <w:vAlign w:val="center"/>
          </w:tcPr>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ascii="Times New Roman" w:hAnsi="Times New Roman" w:eastAsia="仿宋_GB2312"/>
                <w:bCs/>
                <w:color w:val="auto"/>
                <w:sz w:val="18"/>
                <w:szCs w:val="18"/>
              </w:rPr>
              <w:t>ARM体系结构与程序设计*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ARM Architecture and Program Design</w:t>
            </w:r>
          </w:p>
        </w:tc>
        <w:tc>
          <w:tcPr>
            <w:tcW w:w="849" w:type="dxa"/>
            <w:vAlign w:val="center"/>
          </w:tcPr>
          <w:p>
            <w:pPr>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3.0</w:t>
            </w:r>
          </w:p>
        </w:tc>
        <w:tc>
          <w:tcPr>
            <w:tcW w:w="852" w:type="dxa"/>
            <w:vAlign w:val="center"/>
          </w:tcPr>
          <w:p>
            <w:pPr>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48</w:t>
            </w:r>
          </w:p>
        </w:tc>
        <w:tc>
          <w:tcPr>
            <w:tcW w:w="849" w:type="dxa"/>
            <w:vAlign w:val="center"/>
          </w:tcPr>
          <w:p>
            <w:pPr>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24</w:t>
            </w:r>
          </w:p>
        </w:tc>
        <w:tc>
          <w:tcPr>
            <w:tcW w:w="708" w:type="dxa"/>
            <w:vAlign w:val="center"/>
          </w:tcPr>
          <w:p>
            <w:pPr>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24</w:t>
            </w:r>
          </w:p>
        </w:tc>
        <w:tc>
          <w:tcPr>
            <w:tcW w:w="711" w:type="dxa"/>
            <w:vAlign w:val="center"/>
          </w:tcPr>
          <w:p>
            <w:pPr>
              <w:spacing w:line="240" w:lineRule="exact"/>
              <w:jc w:val="center"/>
              <w:rPr>
                <w:rFonts w:ascii="Times New Roman" w:hAnsi="Times New Roman" w:eastAsia="仿宋_GB2312"/>
                <w:color w:val="auto"/>
                <w:sz w:val="18"/>
              </w:rPr>
            </w:pPr>
          </w:p>
        </w:tc>
        <w:tc>
          <w:tcPr>
            <w:tcW w:w="990" w:type="dxa"/>
            <w:vAlign w:val="center"/>
          </w:tcPr>
          <w:p>
            <w:pPr>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5</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4070716</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控制电机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Control Motor</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5</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开关电源技术</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Switching Power Technology</w:t>
            </w:r>
          </w:p>
        </w:tc>
        <w:tc>
          <w:tcPr>
            <w:tcW w:w="849" w:type="dxa"/>
            <w:vAlign w:val="center"/>
          </w:tcPr>
          <w:p>
            <w:pPr>
              <w:adjustRightInd w:val="0"/>
              <w:snapToGrid w:val="0"/>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2.0</w:t>
            </w:r>
          </w:p>
        </w:tc>
        <w:tc>
          <w:tcPr>
            <w:tcW w:w="852" w:type="dxa"/>
            <w:vAlign w:val="center"/>
          </w:tcPr>
          <w:p>
            <w:pPr>
              <w:adjustRightInd w:val="0"/>
              <w:snapToGrid w:val="0"/>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32</w:t>
            </w:r>
          </w:p>
        </w:tc>
        <w:tc>
          <w:tcPr>
            <w:tcW w:w="849" w:type="dxa"/>
            <w:vAlign w:val="center"/>
          </w:tcPr>
          <w:p>
            <w:pPr>
              <w:adjustRightInd w:val="0"/>
              <w:snapToGrid w:val="0"/>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32</w:t>
            </w:r>
          </w:p>
        </w:tc>
        <w:tc>
          <w:tcPr>
            <w:tcW w:w="708" w:type="dxa"/>
            <w:vAlign w:val="center"/>
          </w:tcPr>
          <w:p>
            <w:pPr>
              <w:adjustRightInd w:val="0"/>
              <w:snapToGrid w:val="0"/>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sz w:val="18"/>
              </w:rPr>
            </w:pPr>
            <w:r>
              <w:rPr>
                <w:rFonts w:ascii="Times New Roman" w:hAnsi="Times New Roman" w:eastAsia="仿宋_GB2312"/>
                <w:color w:val="auto"/>
                <w:sz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4070722</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农业机器人控制技术*</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Agricultural Robot Control Technology</w:t>
            </w:r>
          </w:p>
        </w:tc>
        <w:tc>
          <w:tcPr>
            <w:tcW w:w="849" w:type="dxa"/>
            <w:vAlign w:val="center"/>
          </w:tcPr>
          <w:p>
            <w:pPr>
              <w:spacing w:line="240" w:lineRule="exact"/>
              <w:jc w:val="center"/>
              <w:rPr>
                <w:rFonts w:ascii="Times New Roman" w:hAnsi="Times New Roman" w:eastAsia="仿宋_GB2312"/>
                <w:color w:val="auto"/>
                <w:kern w:val="0"/>
                <w:sz w:val="18"/>
              </w:rPr>
            </w:pPr>
            <w:r>
              <w:rPr>
                <w:rFonts w:ascii="Times New Roman" w:hAnsi="Times New Roman" w:eastAsia="仿宋_GB2312"/>
                <w:color w:val="auto"/>
                <w:kern w:val="0"/>
                <w:sz w:val="18"/>
              </w:rPr>
              <w:t>2.0</w:t>
            </w:r>
          </w:p>
        </w:tc>
        <w:tc>
          <w:tcPr>
            <w:tcW w:w="852" w:type="dxa"/>
            <w:vAlign w:val="center"/>
          </w:tcPr>
          <w:p>
            <w:pPr>
              <w:spacing w:line="240" w:lineRule="exact"/>
              <w:jc w:val="center"/>
              <w:rPr>
                <w:rFonts w:ascii="Times New Roman" w:hAnsi="Times New Roman" w:eastAsia="仿宋_GB2312"/>
                <w:color w:val="auto"/>
                <w:kern w:val="0"/>
                <w:sz w:val="18"/>
              </w:rPr>
            </w:pPr>
            <w:r>
              <w:rPr>
                <w:rFonts w:ascii="Times New Roman" w:hAnsi="Times New Roman" w:eastAsia="仿宋_GB2312"/>
                <w:color w:val="auto"/>
                <w:kern w:val="0"/>
                <w:sz w:val="18"/>
              </w:rPr>
              <w:t>32</w:t>
            </w:r>
          </w:p>
        </w:tc>
        <w:tc>
          <w:tcPr>
            <w:tcW w:w="849" w:type="dxa"/>
            <w:vAlign w:val="center"/>
          </w:tcPr>
          <w:p>
            <w:pPr>
              <w:spacing w:line="240" w:lineRule="exact"/>
              <w:jc w:val="center"/>
              <w:rPr>
                <w:rFonts w:ascii="Times New Roman" w:hAnsi="Times New Roman" w:eastAsia="仿宋_GB2312"/>
                <w:color w:val="auto"/>
                <w:kern w:val="0"/>
                <w:sz w:val="18"/>
              </w:rPr>
            </w:pPr>
            <w:r>
              <w:rPr>
                <w:rFonts w:ascii="Times New Roman" w:hAnsi="Times New Roman" w:eastAsia="仿宋_GB2312"/>
                <w:color w:val="auto"/>
                <w:kern w:val="0"/>
                <w:sz w:val="18"/>
              </w:rPr>
              <w:t>24</w:t>
            </w:r>
          </w:p>
        </w:tc>
        <w:tc>
          <w:tcPr>
            <w:tcW w:w="708" w:type="dxa"/>
            <w:vAlign w:val="center"/>
          </w:tcPr>
          <w:p>
            <w:pPr>
              <w:spacing w:line="240" w:lineRule="exact"/>
              <w:jc w:val="center"/>
              <w:rPr>
                <w:rFonts w:ascii="Times New Roman" w:hAnsi="Times New Roman" w:eastAsia="仿宋_GB2312"/>
                <w:color w:val="auto"/>
                <w:kern w:val="0"/>
                <w:sz w:val="18"/>
              </w:rPr>
            </w:pPr>
            <w:r>
              <w:rPr>
                <w:rFonts w:ascii="Times New Roman" w:hAnsi="Times New Roman" w:eastAsia="仿宋_GB2312"/>
                <w:color w:val="auto"/>
                <w:kern w:val="0"/>
                <w:sz w:val="18"/>
              </w:rPr>
              <w:t>8</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spacing w:line="240" w:lineRule="exact"/>
              <w:jc w:val="center"/>
              <w:rPr>
                <w:rFonts w:ascii="Times New Roman" w:hAnsi="Times New Roman" w:eastAsia="仿宋_GB2312"/>
                <w:color w:val="auto"/>
                <w:kern w:val="0"/>
                <w:sz w:val="18"/>
              </w:rPr>
            </w:pPr>
            <w:r>
              <w:rPr>
                <w:rFonts w:ascii="Times New Roman" w:hAnsi="Times New Roman" w:eastAsia="仿宋_GB2312"/>
                <w:color w:val="auto"/>
                <w:kern w:val="0"/>
                <w:sz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4070745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信号分析</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Signal Analysis</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4070757</w:t>
            </w:r>
          </w:p>
        </w:tc>
        <w:tc>
          <w:tcPr>
            <w:tcW w:w="4070"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ascii="Times New Roman" w:hAnsi="Times New Roman" w:eastAsia="仿宋_GB2312"/>
                <w:bCs/>
                <w:color w:val="auto"/>
                <w:sz w:val="18"/>
                <w:szCs w:val="18"/>
              </w:rPr>
              <w:t>传感器与检测技术</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Sensors and Detection Technology</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bCs/>
                <w:color w:val="auto"/>
                <w:sz w:val="18"/>
                <w:szCs w:val="18"/>
              </w:rPr>
              <w:t>3.0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4070742</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现场总线技术与工程应用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Fieldbus Technology and Engineering Application</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2.5</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4070664</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变频器及其应用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Frequency Converter and its Application</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1.5</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8</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4070710</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基于图形化编程的DSP嵌入式开发</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DSP Embedded Development Based on Graphical Programming</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708"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4071104</w:t>
            </w:r>
          </w:p>
        </w:tc>
        <w:tc>
          <w:tcPr>
            <w:tcW w:w="4070"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ascii="Times New Roman" w:hAnsi="Times New Roman" w:eastAsia="仿宋_GB2312"/>
                <w:bCs/>
                <w:color w:val="auto"/>
                <w:sz w:val="18"/>
                <w:szCs w:val="18"/>
              </w:rPr>
              <w:t>通信原理</w:t>
            </w:r>
            <w:r>
              <w:rPr>
                <w:rFonts w:hint="eastAsia" w:ascii="Times New Roman" w:hAnsi="Times New Roman" w:eastAsia="仿宋_GB2312"/>
                <w:bCs/>
                <w:color w:val="auto"/>
                <w:sz w:val="18"/>
                <w:szCs w:val="18"/>
              </w:rPr>
              <w:t>D</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Communication Principle</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4.0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64</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56</w:t>
            </w:r>
          </w:p>
        </w:tc>
        <w:tc>
          <w:tcPr>
            <w:tcW w:w="708"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8</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4070792</w:t>
            </w:r>
          </w:p>
        </w:tc>
        <w:tc>
          <w:tcPr>
            <w:tcW w:w="4070" w:type="dxa"/>
            <w:vAlign w:val="center"/>
          </w:tcPr>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ascii="Times New Roman" w:hAnsi="Times New Roman" w:eastAsia="仿宋_GB2312"/>
                <w:bCs/>
                <w:color w:val="auto"/>
                <w:sz w:val="18"/>
                <w:szCs w:val="18"/>
              </w:rPr>
              <w:t>工程项目管理*</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Project Management</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08"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建工</w:t>
            </w:r>
            <w:r>
              <w:rPr>
                <w:rFonts w:ascii="Times New Roman" w:hAnsi="Times New Roman" w:eastAsia="仿宋_GB2312"/>
                <w:bCs/>
                <w:color w:val="auto"/>
                <w:sz w:val="18"/>
                <w:szCs w:val="18"/>
              </w:rPr>
              <w:t>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4070676</w:t>
            </w:r>
          </w:p>
        </w:tc>
        <w:tc>
          <w:tcPr>
            <w:tcW w:w="4070" w:type="dxa"/>
            <w:vAlign w:val="center"/>
          </w:tcPr>
          <w:p>
            <w:pPr>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电力工程基础B</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Foundation of Electrical Engineering</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4</w:t>
            </w:r>
          </w:p>
        </w:tc>
        <w:tc>
          <w:tcPr>
            <w:tcW w:w="1392" w:type="dxa"/>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电力系统模块</w:t>
            </w:r>
          </w:p>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4070693</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高电压技术</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High Voltage Technology</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4</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4070680</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电力系统分析*</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Power System Analysis</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4.5</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72</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72</w:t>
            </w:r>
          </w:p>
        </w:tc>
        <w:tc>
          <w:tcPr>
            <w:tcW w:w="708"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5</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4070681</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电力系统继电保护</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Power System Relay Protection</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64</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4070682</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电力系统自动化</w:t>
            </w:r>
          </w:p>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Power System Automation</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4070075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Python语言程序设计</w:t>
            </w:r>
            <w:r>
              <w:rPr>
                <w:rFonts w:hint="eastAsia" w:ascii="Times New Roman" w:hAnsi="Times New Roman" w:eastAsia="仿宋_GB2312"/>
                <w:bCs/>
                <w:color w:val="auto"/>
                <w:sz w:val="18"/>
                <w:szCs w:val="18"/>
                <w:lang w:val="en-US" w:eastAsia="zh-CN"/>
              </w:rPr>
              <w:t>B</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Design of Python Programming</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szCs w:val="18"/>
              </w:rPr>
              <w:t>4</w:t>
            </w:r>
          </w:p>
        </w:tc>
        <w:tc>
          <w:tcPr>
            <w:tcW w:w="1392" w:type="dxa"/>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自动控制模块</w:t>
            </w:r>
          </w:p>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4070690</w:t>
            </w:r>
          </w:p>
        </w:tc>
        <w:tc>
          <w:tcPr>
            <w:tcW w:w="4070" w:type="dxa"/>
            <w:vAlign w:val="center"/>
          </w:tcPr>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hint="eastAsia" w:ascii="Times New Roman" w:hAnsi="Times New Roman" w:eastAsia="仿宋_GB2312"/>
                <w:bCs/>
                <w:color w:val="auto"/>
                <w:sz w:val="18"/>
                <w:szCs w:val="18"/>
                <w:lang w:eastAsia="zh-CN"/>
              </w:rPr>
              <w:t>电子设计自动化（EDA）C</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Electronic design automation (EDA)</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852"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708"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4070684</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电气工程计算机绘图</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Electrical Engineering Computer Graphics</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852"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08"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5</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4070739</w:t>
            </w:r>
          </w:p>
        </w:tc>
        <w:tc>
          <w:tcPr>
            <w:tcW w:w="4070" w:type="dxa"/>
            <w:vAlign w:val="center"/>
          </w:tcPr>
          <w:p>
            <w:pPr>
              <w:widowControl/>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kern w:val="0"/>
                <w:sz w:val="18"/>
                <w:szCs w:val="18"/>
              </w:rPr>
              <w:t>▲</w:t>
            </w:r>
            <w:r>
              <w:rPr>
                <w:rFonts w:ascii="Times New Roman" w:hAnsi="Times New Roman" w:eastAsia="仿宋_GB2312"/>
                <w:bCs/>
                <w:color w:val="auto"/>
                <w:sz w:val="18"/>
                <w:szCs w:val="18"/>
              </w:rPr>
              <w:t>西门子PLC原理与应用*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Principle and Application of Siemens PLC</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64</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40</w:t>
            </w:r>
          </w:p>
        </w:tc>
        <w:tc>
          <w:tcPr>
            <w:tcW w:w="708"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24</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4070759</w:t>
            </w:r>
          </w:p>
        </w:tc>
        <w:tc>
          <w:tcPr>
            <w:tcW w:w="4070"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MATLAB及系统仿真</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Matlab and Electromechanical System Simulation</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2.0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0</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4070678</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电力拖动自动控制系统</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Automatic Control System for Power Towing</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3.0</w:t>
            </w:r>
          </w:p>
        </w:tc>
        <w:tc>
          <w:tcPr>
            <w:tcW w:w="852"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48</w:t>
            </w:r>
          </w:p>
        </w:tc>
        <w:tc>
          <w:tcPr>
            <w:tcW w:w="849"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48</w:t>
            </w:r>
          </w:p>
        </w:tc>
        <w:tc>
          <w:tcPr>
            <w:tcW w:w="708" w:type="dxa"/>
            <w:vAlign w:val="center"/>
          </w:tcPr>
          <w:p>
            <w:pPr>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kern w:val="0"/>
                <w:sz w:val="18"/>
              </w:rPr>
              <w:t>6</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4071025</w:t>
            </w:r>
          </w:p>
        </w:tc>
        <w:tc>
          <w:tcPr>
            <w:tcW w:w="4070"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机器学习与人工智能B</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Machine Learning and Artificial Intelligence</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4.5</w:t>
            </w:r>
          </w:p>
        </w:tc>
        <w:tc>
          <w:tcPr>
            <w:tcW w:w="852"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72</w:t>
            </w:r>
          </w:p>
        </w:tc>
        <w:tc>
          <w:tcPr>
            <w:tcW w:w="849"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32</w:t>
            </w:r>
          </w:p>
        </w:tc>
        <w:tc>
          <w:tcPr>
            <w:tcW w:w="708" w:type="dxa"/>
            <w:vAlign w:val="center"/>
          </w:tcPr>
          <w:p>
            <w:pPr>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40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rPr>
              <w:t>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理信学院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4070750</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运动控制系统设计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Design of Motion Control System </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3.0</w:t>
            </w:r>
          </w:p>
        </w:tc>
        <w:tc>
          <w:tcPr>
            <w:tcW w:w="852"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48</w:t>
            </w:r>
          </w:p>
        </w:tc>
        <w:tc>
          <w:tcPr>
            <w:tcW w:w="849"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32</w:t>
            </w:r>
          </w:p>
        </w:tc>
        <w:tc>
          <w:tcPr>
            <w:tcW w:w="708" w:type="dxa"/>
            <w:vAlign w:val="center"/>
          </w:tcPr>
          <w:p>
            <w:pPr>
              <w:tabs>
                <w:tab w:val="left" w:pos="3640"/>
              </w:tabs>
              <w:spacing w:line="240" w:lineRule="exact"/>
              <w:jc w:val="center"/>
              <w:rPr>
                <w:rFonts w:ascii="Times New Roman" w:hAnsi="Times New Roman" w:eastAsia="仿宋_GB2312"/>
                <w:color w:val="auto"/>
                <w:sz w:val="18"/>
                <w:szCs w:val="18"/>
              </w:rPr>
            </w:pPr>
            <w:r>
              <w:rPr>
                <w:rFonts w:ascii="Times New Roman" w:hAnsi="Times New Roman" w:eastAsia="仿宋_GB2312"/>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widowControl/>
              <w:adjustRightInd w:val="0"/>
              <w:snapToGrid w:val="0"/>
              <w:spacing w:line="240" w:lineRule="exact"/>
              <w:jc w:val="center"/>
              <w:rPr>
                <w:rFonts w:ascii="Times New Roman" w:hAnsi="Times New Roman" w:eastAsia="仿宋_GB2312"/>
                <w:color w:val="auto"/>
                <w:kern w:val="0"/>
                <w:sz w:val="18"/>
                <w:szCs w:val="18"/>
              </w:rPr>
            </w:pPr>
            <w:r>
              <w:rPr>
                <w:rFonts w:ascii="Times New Roman" w:hAnsi="Times New Roman" w:eastAsia="仿宋_GB2312"/>
                <w:color w:val="auto"/>
                <w:kern w:val="0"/>
                <w:sz w:val="18"/>
                <w:szCs w:val="18"/>
              </w:rPr>
              <w:t>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
                <w:color w:val="auto"/>
                <w:sz w:val="18"/>
                <w:szCs w:val="18"/>
              </w:rPr>
            </w:pPr>
          </w:p>
        </w:tc>
        <w:tc>
          <w:tcPr>
            <w:tcW w:w="13563" w:type="dxa"/>
            <w:gridSpan w:val="11"/>
            <w:vAlign w:val="center"/>
          </w:tcPr>
          <w:p>
            <w:pPr>
              <w:spacing w:line="240" w:lineRule="exact"/>
              <w:ind w:firstLine="360" w:firstLineChars="200"/>
              <w:rPr>
                <w:rFonts w:ascii="Times New Roman" w:hAnsi="Times New Roman" w:eastAsia="仿宋_GB2312"/>
                <w:bCs/>
                <w:color w:val="auto"/>
                <w:sz w:val="18"/>
                <w:szCs w:val="18"/>
              </w:rPr>
            </w:pPr>
            <w:r>
              <w:rPr>
                <w:rFonts w:ascii="Times New Roman" w:hAnsi="Times New Roman" w:eastAsia="仿宋_GB2312"/>
                <w:bCs/>
                <w:color w:val="auto"/>
                <w:sz w:val="18"/>
                <w:szCs w:val="18"/>
              </w:rPr>
              <w:t>学期：  一   二  三   四   五    六   七     合计</w:t>
            </w:r>
          </w:p>
          <w:p>
            <w:pPr>
              <w:spacing w:line="240" w:lineRule="exact"/>
              <w:ind w:firstLine="368" w:firstLineChars="205"/>
              <w:rPr>
                <w:rFonts w:ascii="Times New Roman" w:hAnsi="Times New Roman" w:eastAsia="仿宋_GB2312"/>
                <w:bCs/>
                <w:color w:val="auto"/>
                <w:sz w:val="18"/>
                <w:szCs w:val="18"/>
              </w:rPr>
            </w:pPr>
            <w:r>
              <w:rPr>
                <w:rFonts w:ascii="Times New Roman" w:hAnsi="Times New Roman" w:eastAsia="仿宋_GB2312"/>
                <w:bCs/>
                <w:color w:val="auto"/>
                <w:sz w:val="18"/>
                <w:szCs w:val="18"/>
              </w:rPr>
              <w:t>学时：           56   40   48   112   96     352</w:t>
            </w:r>
          </w:p>
          <w:p>
            <w:pPr>
              <w:spacing w:line="240" w:lineRule="exact"/>
              <w:ind w:firstLine="368" w:firstLineChars="205"/>
              <w:rPr>
                <w:rFonts w:ascii="Times New Roman" w:hAnsi="Times New Roman" w:eastAsia="仿宋_GB2312"/>
                <w:bCs/>
                <w:color w:val="auto"/>
                <w:sz w:val="18"/>
                <w:szCs w:val="18"/>
              </w:rPr>
            </w:pPr>
            <w:r>
              <w:rPr>
                <w:rFonts w:ascii="Times New Roman" w:hAnsi="Times New Roman" w:eastAsia="仿宋_GB2312"/>
                <w:bCs/>
                <w:color w:val="auto"/>
                <w:sz w:val="18"/>
                <w:szCs w:val="18"/>
              </w:rPr>
              <w:t>学分：          3.5   2.5   3.0   7.0   6.0    22.0</w:t>
            </w:r>
          </w:p>
          <w:p>
            <w:pPr>
              <w:spacing w:line="240" w:lineRule="exact"/>
              <w:jc w:val="left"/>
              <w:rPr>
                <w:rFonts w:ascii="Times New Roman" w:hAnsi="Times New Roman" w:eastAsia="仿宋_GB2312"/>
                <w:bCs/>
                <w:color w:val="auto"/>
                <w:szCs w:val="21"/>
              </w:rPr>
            </w:pPr>
            <w:r>
              <w:rPr>
                <w:rFonts w:ascii="Times New Roman" w:hAnsi="Times New Roman" w:eastAsia="仿宋_GB2312"/>
                <w:bCs/>
                <w:color w:val="auto"/>
                <w:sz w:val="18"/>
                <w:szCs w:val="18"/>
              </w:rPr>
              <w:t>注：专业拓展课程至少选修22.0学分；</w:t>
            </w:r>
          </w:p>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Cs w:val="21"/>
              </w:rPr>
              <w:t>（1）专业拓展课要求至少修满 22.0学分；（2）要求从公共模块至少取得17 学分；（3）其余的请从电力系统、自动控制两个专业方向课程中根据个人的发展需要酌情选择。（4）带</w:t>
            </w:r>
            <w:r>
              <w:rPr>
                <w:rFonts w:ascii="Times New Roman" w:hAnsi="Times New Roman" w:eastAsia="仿宋_GB2312"/>
                <w:color w:val="auto"/>
                <w:kern w:val="0"/>
                <w:sz w:val="18"/>
                <w:szCs w:val="18"/>
              </w:rPr>
              <w:t>▲必选，带</w:t>
            </w:r>
            <w:r>
              <w:rPr>
                <w:rFonts w:ascii="Times New Roman" w:hAnsi="Times New Roman" w:eastAsia="仿宋_GB2312"/>
                <w:bCs/>
                <w:color w:val="auto"/>
                <w:szCs w:val="21"/>
              </w:rPr>
              <w:t>*的课程为专业方向核心类课程，建议限选。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通识课程（选修）</w:t>
            </w: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实用进阶英语读写1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Writing </w:t>
            </w:r>
            <w:r>
              <w:rPr>
                <w:rFonts w:hint="eastAsia" w:ascii="宋体" w:hAnsi="宋体" w:cs="宋体"/>
                <w:bCs/>
                <w:color w:val="auto"/>
                <w:sz w:val="18"/>
                <w:szCs w:val="18"/>
              </w:rPr>
              <w:t>Ⅰ</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英语模块</w:t>
            </w: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实用进阶英语读写2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Writing </w:t>
            </w:r>
            <w:r>
              <w:rPr>
                <w:rFonts w:hint="eastAsia" w:ascii="宋体" w:hAnsi="宋体" w:cs="宋体"/>
                <w:bCs/>
                <w:color w:val="auto"/>
                <w:sz w:val="18"/>
                <w:szCs w:val="18"/>
              </w:rPr>
              <w:t>Ⅱ</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实用进阶英语听说1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Listening and Speaking </w:t>
            </w:r>
            <w:r>
              <w:rPr>
                <w:rFonts w:hint="eastAsia" w:ascii="宋体" w:hAnsi="宋体" w:cs="宋体"/>
                <w:bCs/>
                <w:color w:val="auto"/>
                <w:sz w:val="18"/>
                <w:szCs w:val="18"/>
              </w:rPr>
              <w:t>Ⅰ</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实用进阶英语听说2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Listening and Speaking </w:t>
            </w:r>
            <w:r>
              <w:rPr>
                <w:rFonts w:hint="eastAsia" w:ascii="宋体" w:hAnsi="宋体" w:cs="宋体"/>
                <w:bCs/>
                <w:color w:val="auto"/>
                <w:sz w:val="18"/>
                <w:szCs w:val="18"/>
              </w:rPr>
              <w:t>Ⅱ</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出国留学英语</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English for Studying Abroad</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雅思英语1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IELTS </w:t>
            </w:r>
            <w:r>
              <w:rPr>
                <w:rFonts w:hint="eastAsia" w:ascii="宋体" w:hAnsi="宋体" w:cs="宋体"/>
                <w:bCs/>
                <w:color w:val="auto"/>
                <w:sz w:val="18"/>
                <w:szCs w:val="18"/>
              </w:rPr>
              <w:t>Ⅰ</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雅思英语2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IELTS </w:t>
            </w:r>
            <w:r>
              <w:rPr>
                <w:rFonts w:hint="eastAsia" w:ascii="宋体" w:hAnsi="宋体" w:cs="宋体"/>
                <w:bCs/>
                <w:color w:val="auto"/>
                <w:sz w:val="18"/>
                <w:szCs w:val="18"/>
              </w:rPr>
              <w:t>Ⅱ</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托福英语1</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TOEFL </w:t>
            </w:r>
            <w:r>
              <w:rPr>
                <w:rFonts w:hint="eastAsia" w:ascii="宋体" w:hAnsi="宋体" w:cs="宋体"/>
                <w:bCs/>
                <w:color w:val="auto"/>
                <w:sz w:val="18"/>
                <w:szCs w:val="18"/>
              </w:rPr>
              <w:t>Ⅰ</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托福英语2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TOEFL </w:t>
            </w:r>
            <w:r>
              <w:rPr>
                <w:rFonts w:hint="eastAsia" w:ascii="宋体" w:hAnsi="宋体" w:cs="宋体"/>
                <w:bCs/>
                <w:color w:val="auto"/>
                <w:sz w:val="18"/>
                <w:szCs w:val="18"/>
              </w:rPr>
              <w:t>Ⅱ</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英美文学</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British and American Literature</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英语经典影片评论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Review of Classic English Films</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外国语学院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艺术导论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Introduction of Art </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美育模块</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（最低选修2学分）</w:t>
            </w: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音乐鉴赏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music</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美术鉴赏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art</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影视鉴赏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Film Appreciation</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动漫与传媒学院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戏剧鉴赏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Drama</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舞蹈鉴赏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dancing</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书法鉴赏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calligraphy</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艺术学院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47"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戏曲鉴赏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on Ancient Chinese Opera</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中国农业古籍概览</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 Introduction to Ancient Chinese Agricultural Books</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思政模块</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（最低选修2学分）</w:t>
            </w: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西方哲学思潮</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Trend of Thoughts in Western Philosophy</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西方哲学史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History of Western Philosophy</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宗教与中国社会</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Religion and Chinese Society</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中国文化史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History of Chinese Culture</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马克思主义学院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办公自动化</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Office Automation</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计算机模块</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（最低选修2学分）</w:t>
            </w: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多媒体技术应用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The Application of Multimedia Technology</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网络技术应用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The Application of Network Technology </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1392" w:type="dxa"/>
            <w:gridSpan w:val="2"/>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理学与信息科学学院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中国古代小说名作鉴赏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Ancient Chinese Novels</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文学与文化类</w:t>
            </w:r>
          </w:p>
        </w:tc>
        <w:tc>
          <w:tcPr>
            <w:tcW w:w="883" w:type="dxa"/>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中国语言文学与优秀传统文化模块（最低选修2学分）</w:t>
            </w: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中国古代诗词名作鉴赏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Ancient Chinese Poetry</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中国现当代文学名作鉴赏</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Modern and Contemporary Chinese Literary Classics</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语言文字与文化</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Language Characters and Culture</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语言与文化类</w:t>
            </w: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对外汉语教学与实践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Theory and Practice of Teaching Chinese as a Foreign Language</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语言修辞与人际交往</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Language Rhetoric and Interpersonal Communication</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社交语言艺术</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Art of Social Language   </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演讲与口才</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Speech and Eloquence</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普通话训练与测试</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Mandarine Practice and Testing</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2-7</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创意写作</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Creative Writing</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509" w:type="dxa"/>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写作类</w:t>
            </w: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应用写作</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Practical Writing</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中国传统文化概论</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An Introduction to Chinese Classical Culture</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509" w:type="dxa"/>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传统文化类</w:t>
            </w: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139"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4070"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中国社会思想史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History of Chinese Thought in Sociological Perspective</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2"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849"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708"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509" w:type="dxa"/>
            <w:vMerge w:val="continue"/>
            <w:vAlign w:val="center"/>
          </w:tcPr>
          <w:p>
            <w:pPr>
              <w:spacing w:line="240" w:lineRule="exact"/>
              <w:jc w:val="center"/>
              <w:rPr>
                <w:rFonts w:ascii="Times New Roman" w:hAnsi="Times New Roman" w:eastAsia="仿宋_GB2312"/>
                <w:bCs/>
                <w:color w:val="auto"/>
                <w:sz w:val="18"/>
                <w:szCs w:val="18"/>
              </w:rPr>
            </w:pPr>
          </w:p>
        </w:tc>
        <w:tc>
          <w:tcPr>
            <w:tcW w:w="883" w:type="dxa"/>
            <w:vMerge w:val="continue"/>
            <w:vAlign w:val="center"/>
          </w:tcPr>
          <w:p>
            <w:pPr>
              <w:spacing w:line="240" w:lineRule="exact"/>
              <w:jc w:val="center"/>
              <w:rPr>
                <w:rFonts w:ascii="Times New Roman" w:hAnsi="Times New Roman" w:eastAsia="仿宋_GB2312"/>
                <w:bCs/>
                <w:color w:val="auto"/>
                <w:sz w:val="18"/>
                <w:szCs w:val="18"/>
              </w:rPr>
            </w:pPr>
          </w:p>
        </w:tc>
        <w:tc>
          <w:tcPr>
            <w:tcW w:w="2003" w:type="dxa"/>
            <w:vAlign w:val="center"/>
          </w:tcPr>
          <w:p>
            <w:pPr>
              <w:spacing w:line="240" w:lineRule="exact"/>
              <w:jc w:val="center"/>
              <w:rPr>
                <w:rFonts w:ascii="Times New Roman" w:hAnsi="Times New Roman" w:eastAsia="仿宋_GB2312"/>
                <w:color w:val="auto"/>
              </w:rPr>
            </w:pPr>
            <w:r>
              <w:rPr>
                <w:rFonts w:ascii="Times New Roman" w:hAnsi="Times New Roman" w:eastAsia="仿宋_GB2312"/>
                <w:bCs/>
                <w:color w:val="auto"/>
                <w:sz w:val="18"/>
                <w:szCs w:val="18"/>
              </w:rPr>
              <w:t>人文社会科学学院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5209" w:type="dxa"/>
            <w:gridSpan w:val="2"/>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其他类通识选修课程</w:t>
            </w:r>
          </w:p>
        </w:tc>
        <w:tc>
          <w:tcPr>
            <w:tcW w:w="849" w:type="dxa"/>
            <w:vAlign w:val="center"/>
          </w:tcPr>
          <w:p>
            <w:pPr>
              <w:spacing w:line="240" w:lineRule="exact"/>
              <w:jc w:val="center"/>
              <w:rPr>
                <w:rFonts w:ascii="Times New Roman" w:hAnsi="Times New Roman" w:eastAsia="仿宋_GB2312"/>
                <w:bCs/>
                <w:color w:val="auto"/>
                <w:sz w:val="18"/>
                <w:szCs w:val="18"/>
              </w:rPr>
            </w:pPr>
          </w:p>
        </w:tc>
        <w:tc>
          <w:tcPr>
            <w:tcW w:w="852" w:type="dxa"/>
            <w:vAlign w:val="center"/>
          </w:tcPr>
          <w:p>
            <w:pPr>
              <w:spacing w:line="240" w:lineRule="exact"/>
              <w:jc w:val="center"/>
              <w:rPr>
                <w:rFonts w:ascii="Times New Roman" w:hAnsi="Times New Roman" w:eastAsia="仿宋_GB2312"/>
                <w:bCs/>
                <w:color w:val="auto"/>
                <w:sz w:val="18"/>
                <w:szCs w:val="18"/>
              </w:rPr>
            </w:pPr>
          </w:p>
        </w:tc>
        <w:tc>
          <w:tcPr>
            <w:tcW w:w="849" w:type="dxa"/>
            <w:vAlign w:val="center"/>
          </w:tcPr>
          <w:p>
            <w:pPr>
              <w:spacing w:line="240" w:lineRule="exact"/>
              <w:jc w:val="center"/>
              <w:rPr>
                <w:rFonts w:ascii="Times New Roman" w:hAnsi="Times New Roman" w:eastAsia="仿宋_GB2312"/>
                <w:bCs/>
                <w:color w:val="auto"/>
                <w:sz w:val="18"/>
                <w:szCs w:val="18"/>
              </w:rPr>
            </w:pPr>
          </w:p>
        </w:tc>
        <w:tc>
          <w:tcPr>
            <w:tcW w:w="708" w:type="dxa"/>
            <w:vAlign w:val="center"/>
          </w:tcPr>
          <w:p>
            <w:pPr>
              <w:spacing w:line="240" w:lineRule="exact"/>
              <w:jc w:val="center"/>
              <w:rPr>
                <w:rFonts w:ascii="Times New Roman" w:hAnsi="Times New Roman" w:eastAsia="仿宋_GB2312"/>
                <w:bCs/>
                <w:color w:val="auto"/>
                <w:sz w:val="18"/>
                <w:szCs w:val="18"/>
              </w:rPr>
            </w:pPr>
          </w:p>
        </w:tc>
        <w:tc>
          <w:tcPr>
            <w:tcW w:w="711" w:type="dxa"/>
            <w:vAlign w:val="center"/>
          </w:tcPr>
          <w:p>
            <w:pPr>
              <w:spacing w:line="240" w:lineRule="exact"/>
              <w:jc w:val="center"/>
              <w:rPr>
                <w:rFonts w:ascii="Times New Roman" w:hAnsi="Times New Roman" w:eastAsia="仿宋_GB2312"/>
                <w:bCs/>
                <w:color w:val="auto"/>
                <w:sz w:val="18"/>
                <w:szCs w:val="18"/>
              </w:rPr>
            </w:pPr>
          </w:p>
        </w:tc>
        <w:tc>
          <w:tcPr>
            <w:tcW w:w="990" w:type="dxa"/>
            <w:vAlign w:val="center"/>
          </w:tcPr>
          <w:p>
            <w:pPr>
              <w:spacing w:line="240" w:lineRule="exact"/>
              <w:jc w:val="center"/>
              <w:rPr>
                <w:rFonts w:ascii="Times New Roman" w:hAnsi="Times New Roman" w:eastAsia="仿宋_GB2312"/>
                <w:bCs/>
                <w:color w:val="auto"/>
                <w:sz w:val="18"/>
                <w:szCs w:val="18"/>
              </w:rPr>
            </w:pPr>
          </w:p>
        </w:tc>
        <w:tc>
          <w:tcPr>
            <w:tcW w:w="1392" w:type="dxa"/>
            <w:gridSpan w:val="2"/>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其他通识选修课程</w:t>
            </w:r>
          </w:p>
        </w:tc>
        <w:tc>
          <w:tcPr>
            <w:tcW w:w="2003"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各学院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6" w:space="0"/>
          </w:tblBorders>
          <w:tblCellMar>
            <w:top w:w="0" w:type="dxa"/>
            <w:left w:w="108" w:type="dxa"/>
            <w:bottom w:w="0" w:type="dxa"/>
            <w:right w:w="108" w:type="dxa"/>
          </w:tblCellMar>
        </w:tblPrEx>
        <w:trPr>
          <w:trHeight w:val="454" w:hRule="atLeast"/>
          <w:jc w:val="center"/>
        </w:trPr>
        <w:tc>
          <w:tcPr>
            <w:tcW w:w="826" w:type="dxa"/>
            <w:vMerge w:val="continue"/>
            <w:vAlign w:val="center"/>
          </w:tcPr>
          <w:p>
            <w:pPr>
              <w:spacing w:line="240" w:lineRule="exact"/>
              <w:jc w:val="center"/>
              <w:rPr>
                <w:rFonts w:ascii="Times New Roman" w:hAnsi="Times New Roman" w:eastAsia="仿宋_GB2312"/>
                <w:bCs/>
                <w:color w:val="auto"/>
                <w:sz w:val="18"/>
                <w:szCs w:val="18"/>
              </w:rPr>
            </w:pPr>
          </w:p>
        </w:tc>
        <w:tc>
          <w:tcPr>
            <w:tcW w:w="13563" w:type="dxa"/>
            <w:gridSpan w:val="11"/>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学期：  一   二  三   四   五   六   七   合计</w:t>
            </w:r>
          </w:p>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学时：           32        32   64   64   192</w:t>
            </w:r>
          </w:p>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学分：           2         2    4    4     12</w:t>
            </w:r>
          </w:p>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注：至少选修12学分；美育模块、中国语言文学与优秀传统文化模块、思政模块及计算机模块：每个模块最低选修2学分；创新创业类建议选修不低于2学分；文科、艺术等门类建议选修自然类课程不低于2学分。</w:t>
            </w:r>
          </w:p>
        </w:tc>
      </w:tr>
    </w:tbl>
    <w:p>
      <w:pPr>
        <w:adjustRightInd w:val="0"/>
        <w:snapToGrid w:val="0"/>
        <w:spacing w:line="320" w:lineRule="exact"/>
        <w:rPr>
          <w:rFonts w:ascii="Times New Roman" w:hAnsi="Times New Roman"/>
          <w:color w:val="auto"/>
          <w:kern w:val="0"/>
          <w:sz w:val="18"/>
          <w:szCs w:val="18"/>
        </w:rPr>
        <w:sectPr>
          <w:pgSz w:w="16838" w:h="11906" w:orient="landscape"/>
          <w:pgMar w:top="1531" w:right="1134" w:bottom="1021" w:left="1531" w:header="851" w:footer="992" w:gutter="0"/>
          <w:cols w:space="720" w:num="1"/>
          <w:docGrid w:linePitch="312" w:charSpace="0"/>
        </w:sectPr>
      </w:pPr>
    </w:p>
    <w:p>
      <w:pPr>
        <w:adjustRightInd w:val="0"/>
        <w:spacing w:line="360" w:lineRule="auto"/>
        <w:ind w:left="420" w:leftChars="200"/>
        <w:rPr>
          <w:rFonts w:ascii="Times New Roman" w:hAnsi="Times New Roman" w:eastAsia="楷体_GB2312"/>
          <w:bCs/>
          <w:color w:val="auto"/>
          <w:sz w:val="30"/>
          <w:szCs w:val="30"/>
        </w:rPr>
      </w:pPr>
      <w:r>
        <w:rPr>
          <w:rFonts w:ascii="Times New Roman" w:hAnsi="Times New Roman" w:eastAsia="楷体_GB2312"/>
          <w:bCs/>
          <w:color w:val="auto"/>
          <w:sz w:val="30"/>
          <w:szCs w:val="30"/>
        </w:rPr>
        <w:t>（二）实践教学环节</w:t>
      </w:r>
    </w:p>
    <w:tbl>
      <w:tblPr>
        <w:tblStyle w:val="17"/>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104"/>
        <w:gridCol w:w="3243"/>
        <w:gridCol w:w="724"/>
        <w:gridCol w:w="720"/>
        <w:gridCol w:w="1154"/>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课程类型</w:t>
            </w:r>
          </w:p>
        </w:tc>
        <w:tc>
          <w:tcPr>
            <w:tcW w:w="1104"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课程代码</w:t>
            </w:r>
          </w:p>
        </w:tc>
        <w:tc>
          <w:tcPr>
            <w:tcW w:w="3243"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课程名称</w:t>
            </w:r>
          </w:p>
        </w:tc>
        <w:tc>
          <w:tcPr>
            <w:tcW w:w="724"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学分</w:t>
            </w:r>
          </w:p>
        </w:tc>
        <w:tc>
          <w:tcPr>
            <w:tcW w:w="720"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开设学期</w:t>
            </w:r>
          </w:p>
        </w:tc>
        <w:tc>
          <w:tcPr>
            <w:tcW w:w="1154"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时间</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（周）</w:t>
            </w:r>
          </w:p>
        </w:tc>
        <w:tc>
          <w:tcPr>
            <w:tcW w:w="1324"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开课</w:t>
            </w:r>
          </w:p>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
                <w:color w:val="auto"/>
                <w:sz w:val="18"/>
                <w:szCs w:val="18"/>
              </w:rPr>
              <w:t>劳动</w:t>
            </w:r>
            <w:r>
              <w:rPr>
                <w:rFonts w:ascii="Times New Roman" w:hAnsi="Times New Roman" w:eastAsia="仿宋_GB2312"/>
                <w:bCs/>
                <w:color w:val="auto"/>
                <w:sz w:val="18"/>
                <w:szCs w:val="18"/>
              </w:rPr>
              <w:t>教育</w:t>
            </w: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劳动实践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Labor practice</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1-4</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w:t>
            </w:r>
          </w:p>
        </w:tc>
        <w:tc>
          <w:tcPr>
            <w:tcW w:w="13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入学教育、军训</w:t>
            </w: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入学教育、军训（含军事技能）</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Entrance Education, Military Training (Including Military Skills)</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毕业教育</w:t>
            </w: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毕业教育</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Graduate Education</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3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体育</w:t>
            </w: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24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大学生体质健康测试</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Health Test</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0.5</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1-8</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（8学时）</w:t>
            </w:r>
          </w:p>
        </w:tc>
        <w:tc>
          <w:tcPr>
            <w:tcW w:w="13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创新创业实践</w:t>
            </w: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24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第二课堂实践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out of Classroom</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1-8</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24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《创业基础》实践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of Introduction to Entrepreneurship</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3</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3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restart"/>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教学实习</w:t>
            </w: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思想政治理论课综合实践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Comprehensive Practice Course of Ideological and Political Theory</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3-4</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24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《大学生心理健康教育》实践</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of Mental Health Education</w:t>
            </w:r>
          </w:p>
        </w:tc>
        <w:tc>
          <w:tcPr>
            <w:tcW w:w="724"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0.5</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2</w:t>
            </w:r>
          </w:p>
        </w:tc>
        <w:tc>
          <w:tcPr>
            <w:tcW w:w="1154" w:type="dxa"/>
            <w:vAlign w:val="center"/>
          </w:tcPr>
          <w:p>
            <w:pPr>
              <w:widowControl/>
              <w:adjustRightInd w:val="0"/>
              <w:snapToGrid w:val="0"/>
              <w:spacing w:line="240" w:lineRule="exact"/>
              <w:jc w:val="center"/>
              <w:rPr>
                <w:rFonts w:ascii="Times New Roman" w:hAnsi="Times New Roman" w:eastAsia="仿宋_GB2312"/>
                <w:bCs/>
                <w:color w:val="auto"/>
                <w:kern w:val="0"/>
                <w:sz w:val="18"/>
                <w:szCs w:val="18"/>
              </w:rPr>
            </w:pPr>
            <w:r>
              <w:rPr>
                <w:rFonts w:ascii="Times New Roman" w:hAnsi="Times New Roman" w:eastAsia="仿宋_GB2312"/>
                <w:bCs/>
                <w:color w:val="auto"/>
                <w:sz w:val="18"/>
                <w:szCs w:val="18"/>
              </w:rPr>
              <w:t>（0.5）</w:t>
            </w:r>
          </w:p>
        </w:tc>
        <w:tc>
          <w:tcPr>
            <w:tcW w:w="1324" w:type="dxa"/>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学生工作部（处）</w:t>
            </w:r>
          </w:p>
          <w:p>
            <w:pPr>
              <w:widowControl/>
              <w:adjustRightInd w:val="0"/>
              <w:snapToGrid w:val="0"/>
              <w:spacing w:line="240" w:lineRule="exact"/>
              <w:jc w:val="center"/>
              <w:rPr>
                <w:rFonts w:ascii="Times New Roman" w:hAnsi="Times New Roman" w:eastAsia="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大学生就业指导</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Career Guidance for University Students</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4080349</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制造工程训练</w:t>
            </w:r>
            <w:r>
              <w:rPr>
                <w:rFonts w:hint="eastAsia" w:ascii="宋体" w:hAnsi="宋体" w:cs="宋体"/>
                <w:bCs/>
                <w:color w:val="auto"/>
                <w:sz w:val="18"/>
                <w:szCs w:val="18"/>
              </w:rPr>
              <w:t>Ⅱ</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Manufacturing Engineering Training</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Merge w:val="restart"/>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机电工程学院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4080331</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电子技术课程设计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Design of Electronic Technology Curriculum </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4080325</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电机绕组绕制实习</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Motor Winding Practice</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4080330</w:t>
            </w:r>
          </w:p>
        </w:tc>
        <w:tc>
          <w:tcPr>
            <w:tcW w:w="3243" w:type="dxa"/>
            <w:vAlign w:val="center"/>
          </w:tcPr>
          <w:p>
            <w:pPr>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电子工艺实习A</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Electronic Process Practice</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4080324</w:t>
            </w:r>
          </w:p>
        </w:tc>
        <w:tc>
          <w:tcPr>
            <w:tcW w:w="3243"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单片机原理与应用</w:t>
            </w:r>
            <w:r>
              <w:rPr>
                <w:rFonts w:hint="eastAsia" w:ascii="Times New Roman" w:hAnsi="Times New Roman" w:eastAsia="仿宋_GB2312"/>
                <w:bCs/>
                <w:color w:val="auto"/>
                <w:sz w:val="18"/>
                <w:szCs w:val="18"/>
                <w:lang w:val="en-US" w:eastAsia="zh-CN"/>
              </w:rPr>
              <w:t>A</w:t>
            </w:r>
            <w:r>
              <w:rPr>
                <w:rFonts w:ascii="Times New Roman" w:hAnsi="Times New Roman" w:eastAsia="仿宋_GB2312"/>
                <w:bCs/>
                <w:color w:val="auto"/>
                <w:sz w:val="18"/>
                <w:szCs w:val="18"/>
              </w:rPr>
              <w:t>课程设计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Design of SCM Principle and Application Course </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4080341</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可编程控制器应用课程设计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Design of Programmable Logic Controller Application Course </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4080345</w:t>
            </w:r>
          </w:p>
        </w:tc>
        <w:tc>
          <w:tcPr>
            <w:tcW w:w="3243"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农业电气化专业综合实习</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Agricultural Electrification Professional Comprehensive Practice</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restart"/>
            <w:vAlign w:val="center"/>
          </w:tcPr>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
                <w:color w:val="auto"/>
                <w:sz w:val="18"/>
                <w:szCs w:val="18"/>
              </w:rPr>
              <w:t>毕业</w:t>
            </w:r>
            <w:r>
              <w:rPr>
                <w:rFonts w:ascii="Times New Roman" w:hAnsi="Times New Roman" w:eastAsia="仿宋_GB2312"/>
                <w:b/>
                <w:color w:val="auto"/>
                <w:sz w:val="18"/>
                <w:szCs w:val="18"/>
              </w:rPr>
              <w:t>实习</w:t>
            </w:r>
            <w:r>
              <w:rPr>
                <w:rFonts w:hint="eastAsia" w:ascii="Times New Roman" w:hAnsi="Times New Roman" w:eastAsia="仿宋_GB2312"/>
                <w:b/>
                <w:color w:val="auto"/>
                <w:sz w:val="18"/>
                <w:szCs w:val="18"/>
              </w:rPr>
              <w:t>、</w:t>
            </w:r>
            <w:r>
              <w:rPr>
                <w:rFonts w:ascii="Times New Roman" w:hAnsi="Times New Roman" w:eastAsia="仿宋_GB2312"/>
                <w:b/>
                <w:color w:val="auto"/>
                <w:sz w:val="18"/>
                <w:szCs w:val="18"/>
              </w:rPr>
              <w:t>论文</w:t>
            </w: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4080344</w:t>
            </w:r>
          </w:p>
        </w:tc>
        <w:tc>
          <w:tcPr>
            <w:tcW w:w="3243" w:type="dxa"/>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农业电气化专业毕业实习（含劳动实践）</w:t>
            </w:r>
          </w:p>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Graduation internship in agricultural electrification (including labor practice)</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color w:val="auto"/>
                <w:sz w:val="18"/>
                <w:szCs w:val="18"/>
              </w:rPr>
              <w:t>4.0</w:t>
            </w:r>
          </w:p>
        </w:tc>
        <w:tc>
          <w:tcPr>
            <w:tcW w:w="720" w:type="dxa"/>
            <w:vAlign w:val="center"/>
          </w:tcPr>
          <w:p>
            <w:pPr>
              <w:spacing w:line="240" w:lineRule="exact"/>
              <w:rPr>
                <w:rFonts w:ascii="Times New Roman" w:hAnsi="Times New Roman" w:eastAsia="仿宋_GB2312"/>
                <w:bCs/>
                <w:color w:val="auto"/>
                <w:sz w:val="18"/>
                <w:szCs w:val="18"/>
              </w:rPr>
            </w:pPr>
            <w:r>
              <w:rPr>
                <w:rFonts w:ascii="Times New Roman" w:hAnsi="Times New Roman"/>
                <w:color w:val="auto"/>
                <w:sz w:val="18"/>
                <w:szCs w:val="18"/>
              </w:rPr>
              <w:t>8（含第7学期寒假）</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color w:val="auto"/>
                <w:sz w:val="18"/>
                <w:szCs w:val="18"/>
              </w:rPr>
              <w:t>8</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31" w:type="dxa"/>
            <w:vMerge w:val="continue"/>
            <w:vAlign w:val="center"/>
          </w:tcPr>
          <w:p>
            <w:pPr>
              <w:spacing w:line="240" w:lineRule="exact"/>
              <w:jc w:val="center"/>
              <w:rPr>
                <w:rFonts w:ascii="Times New Roman" w:hAnsi="Times New Roman" w:eastAsia="仿宋_GB2312"/>
                <w:bCs/>
                <w:color w:val="auto"/>
                <w:sz w:val="18"/>
                <w:szCs w:val="18"/>
              </w:rPr>
            </w:pPr>
          </w:p>
        </w:tc>
        <w:tc>
          <w:tcPr>
            <w:tcW w:w="1104" w:type="dxa"/>
            <w:vAlign w:val="center"/>
          </w:tcPr>
          <w:p>
            <w:pPr>
              <w:keepNext w:val="0"/>
              <w:keepLines w:val="0"/>
              <w:widowControl/>
              <w:suppressLineNumbers w:val="0"/>
              <w:jc w:val="center"/>
              <w:textAlignment w:val="bottom"/>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4080343</w:t>
            </w:r>
          </w:p>
        </w:tc>
        <w:tc>
          <w:tcPr>
            <w:tcW w:w="3243" w:type="dxa"/>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农业电气化专业毕业论文（设计）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Agricultural Electrification Professional Graduation Thesis (Design)</w:t>
            </w:r>
          </w:p>
        </w:tc>
        <w:tc>
          <w:tcPr>
            <w:tcW w:w="72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color w:val="auto"/>
                <w:sz w:val="18"/>
                <w:szCs w:val="18"/>
              </w:rPr>
              <w:t>6.0</w:t>
            </w:r>
          </w:p>
        </w:tc>
        <w:tc>
          <w:tcPr>
            <w:tcW w:w="720"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color w:val="auto"/>
                <w:sz w:val="18"/>
                <w:szCs w:val="18"/>
              </w:rPr>
              <w:t>8</w:t>
            </w:r>
          </w:p>
        </w:tc>
        <w:tc>
          <w:tcPr>
            <w:tcW w:w="1154" w:type="dxa"/>
            <w:vAlign w:val="center"/>
          </w:tcPr>
          <w:p>
            <w:pPr>
              <w:spacing w:line="240" w:lineRule="exact"/>
              <w:jc w:val="center"/>
              <w:rPr>
                <w:rFonts w:ascii="Times New Roman" w:hAnsi="Times New Roman" w:eastAsia="仿宋_GB2312"/>
                <w:bCs/>
                <w:color w:val="auto"/>
                <w:sz w:val="18"/>
                <w:szCs w:val="18"/>
              </w:rPr>
            </w:pPr>
            <w:r>
              <w:rPr>
                <w:rFonts w:ascii="Times New Roman" w:hAnsi="Times New Roman"/>
                <w:color w:val="auto"/>
                <w:sz w:val="18"/>
                <w:szCs w:val="18"/>
              </w:rPr>
              <w:t>14</w:t>
            </w:r>
          </w:p>
        </w:tc>
        <w:tc>
          <w:tcPr>
            <w:tcW w:w="1324" w:type="dxa"/>
            <w:vMerge w:val="continue"/>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478" w:type="dxa"/>
            <w:gridSpan w:val="3"/>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合计</w:t>
            </w:r>
          </w:p>
        </w:tc>
        <w:tc>
          <w:tcPr>
            <w:tcW w:w="724"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37</w:t>
            </w:r>
          </w:p>
        </w:tc>
        <w:tc>
          <w:tcPr>
            <w:tcW w:w="720" w:type="dxa"/>
            <w:vAlign w:val="center"/>
          </w:tcPr>
          <w:p>
            <w:pPr>
              <w:spacing w:line="240" w:lineRule="exact"/>
              <w:jc w:val="center"/>
              <w:rPr>
                <w:rFonts w:ascii="Times New Roman" w:hAnsi="Times New Roman" w:eastAsia="仿宋_GB2312"/>
                <w:b/>
                <w:color w:val="auto"/>
                <w:sz w:val="18"/>
                <w:szCs w:val="18"/>
              </w:rPr>
            </w:pPr>
          </w:p>
        </w:tc>
        <w:tc>
          <w:tcPr>
            <w:tcW w:w="1154" w:type="dxa"/>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
                <w:color w:val="auto"/>
                <w:sz w:val="18"/>
                <w:szCs w:val="18"/>
              </w:rPr>
              <w:t>40+（17.5周+8学时）</w:t>
            </w:r>
          </w:p>
        </w:tc>
        <w:tc>
          <w:tcPr>
            <w:tcW w:w="1324" w:type="dxa"/>
            <w:vAlign w:val="center"/>
          </w:tcPr>
          <w:p>
            <w:pPr>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400" w:type="dxa"/>
            <w:gridSpan w:val="7"/>
            <w:vAlign w:val="center"/>
          </w:tcPr>
          <w:p>
            <w:pPr>
              <w:spacing w:line="240" w:lineRule="exact"/>
              <w:jc w:val="center"/>
              <w:rPr>
                <w:rFonts w:ascii="Times New Roman" w:hAnsi="Times New Roman" w:eastAsia="仿宋_GB2312"/>
                <w:b/>
                <w:color w:val="auto"/>
                <w:sz w:val="18"/>
                <w:szCs w:val="18"/>
              </w:rPr>
            </w:pPr>
            <w:r>
              <w:rPr>
                <w:rFonts w:ascii="Times New Roman" w:hAnsi="Times New Roman" w:eastAsia="仿宋_GB2312"/>
                <w:bCs/>
                <w:color w:val="auto"/>
                <w:sz w:val="18"/>
                <w:szCs w:val="18"/>
              </w:rPr>
              <w:t>注：农业电气化专业综合实习（包含西门子plc实习2周+嵌入式系统实习2周+系统集成及与变频器通讯1周）</w:t>
            </w:r>
          </w:p>
        </w:tc>
      </w:tr>
    </w:tbl>
    <w:p>
      <w:pPr>
        <w:adjustRightInd w:val="0"/>
        <w:spacing w:line="360" w:lineRule="auto"/>
        <w:ind w:firstLine="600" w:firstLineChars="200"/>
        <w:rPr>
          <w:rFonts w:ascii="Times New Roman" w:hAnsi="Times New Roman" w:eastAsia="黑体"/>
          <w:bCs/>
          <w:color w:val="auto"/>
          <w:sz w:val="30"/>
          <w:szCs w:val="30"/>
        </w:rPr>
        <w:sectPr>
          <w:pgSz w:w="11906" w:h="16838"/>
          <w:pgMar w:top="1531" w:right="1134" w:bottom="1021" w:left="1588" w:header="851" w:footer="992" w:gutter="0"/>
          <w:cols w:space="0" w:num="1"/>
          <w:docGrid w:type="lines" w:linePitch="312" w:charSpace="0"/>
        </w:sectPr>
      </w:pPr>
    </w:p>
    <w:p>
      <w:pPr>
        <w:adjustRightInd w:val="0"/>
        <w:spacing w:line="360" w:lineRule="auto"/>
        <w:ind w:firstLine="560" w:firstLineChars="200"/>
        <w:rPr>
          <w:rFonts w:ascii="Times New Roman" w:hAnsi="Times New Roman" w:eastAsia="黑体"/>
          <w:bCs/>
          <w:color w:val="auto"/>
          <w:sz w:val="28"/>
          <w:szCs w:val="28"/>
        </w:rPr>
      </w:pPr>
      <w:r>
        <w:rPr>
          <w:rFonts w:ascii="Times New Roman" w:hAnsi="Times New Roman" w:eastAsia="黑体"/>
          <w:bCs/>
          <w:color w:val="auto"/>
          <w:sz w:val="28"/>
          <w:szCs w:val="28"/>
        </w:rPr>
        <w:t>八、课程介绍及修读指导建议</w:t>
      </w:r>
    </w:p>
    <w:p>
      <w:pPr>
        <w:spacing w:line="360" w:lineRule="auto"/>
        <w:ind w:firstLine="560" w:firstLineChars="200"/>
        <w:jc w:val="center"/>
        <w:rPr>
          <w:rFonts w:ascii="Times New Roman" w:hAnsi="Times New Roman" w:eastAsia="黑体"/>
          <w:color w:val="auto"/>
          <w:sz w:val="28"/>
          <w:szCs w:val="28"/>
        </w:rPr>
      </w:pPr>
      <w:r>
        <w:rPr>
          <w:rFonts w:ascii="Times New Roman" w:hAnsi="Times New Roman" w:eastAsia="黑体"/>
          <w:color w:val="auto"/>
          <w:sz w:val="28"/>
          <w:szCs w:val="28"/>
        </w:rPr>
        <w:t>农业电气化专业课程介绍及修读指导意见</w:t>
      </w:r>
    </w:p>
    <w:tbl>
      <w:tblPr>
        <w:tblStyle w:val="17"/>
        <w:tblW w:w="143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671"/>
        <w:gridCol w:w="2356"/>
        <w:gridCol w:w="7605"/>
        <w:gridCol w:w="3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0" w:type="dxa"/>
            <w:gridSpan w:val="2"/>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课程类别</w:t>
            </w:r>
          </w:p>
        </w:tc>
        <w:tc>
          <w:tcPr>
            <w:tcW w:w="2356"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课程名称</w:t>
            </w:r>
          </w:p>
        </w:tc>
        <w:tc>
          <w:tcPr>
            <w:tcW w:w="7605"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课程介绍</w:t>
            </w:r>
          </w:p>
        </w:tc>
        <w:tc>
          <w:tcPr>
            <w:tcW w:w="3101"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通识教育课程</w:t>
            </w:r>
          </w:p>
        </w:tc>
        <w:tc>
          <w:tcPr>
            <w:tcW w:w="671"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1.大学英语</w:t>
            </w:r>
            <w:r>
              <w:rPr>
                <w:rFonts w:hint="eastAsia" w:ascii="宋体" w:hAnsi="宋体" w:cs="宋体"/>
                <w:bCs/>
                <w:color w:val="auto"/>
                <w:sz w:val="18"/>
                <w:szCs w:val="18"/>
              </w:rPr>
              <w:t>Ⅰ</w:t>
            </w:r>
            <w:r>
              <w:rPr>
                <w:rFonts w:ascii="Times New Roman" w:hAnsi="Times New Roman" w:eastAsia="仿宋_GB2312"/>
                <w:bCs/>
                <w:color w:val="auto"/>
                <w:sz w:val="18"/>
                <w:szCs w:val="18"/>
              </w:rPr>
              <w:t>-</w:t>
            </w:r>
            <w:r>
              <w:rPr>
                <w:rFonts w:hint="eastAsia" w:ascii="宋体" w:hAnsi="宋体" w:cs="宋体"/>
                <w:bCs/>
                <w:color w:val="auto"/>
                <w:sz w:val="18"/>
                <w:szCs w:val="18"/>
              </w:rPr>
              <w:t>Ⅳ</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学习能够运用基本的听力技巧听懂英语授课，能听懂日常英语谈话和一般性题材的讲座；能在学习过程中用英语交流，能在交谈中使用基本的会话策略；能基本读懂一般性题材的英文文章，能就阅读材料进行略读和寻读，能在半小时内就一般性话题或提纲写出不少于120词的短文。</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2.体育</w:t>
            </w:r>
            <w:r>
              <w:rPr>
                <w:rFonts w:hint="eastAsia" w:ascii="宋体" w:hAnsi="宋体" w:cs="宋体"/>
                <w:bCs/>
                <w:color w:val="auto"/>
                <w:sz w:val="18"/>
                <w:szCs w:val="18"/>
              </w:rPr>
              <w:t>Ⅰ</w:t>
            </w:r>
            <w:r>
              <w:rPr>
                <w:rFonts w:ascii="Times New Roman" w:hAnsi="Times New Roman" w:eastAsia="仿宋_GB2312"/>
                <w:bCs/>
                <w:color w:val="auto"/>
                <w:sz w:val="18"/>
                <w:szCs w:val="18"/>
              </w:rPr>
              <w:t>-</w:t>
            </w:r>
            <w:r>
              <w:rPr>
                <w:rFonts w:hint="eastAsia" w:ascii="宋体" w:hAnsi="宋体" w:cs="宋体"/>
                <w:bCs/>
                <w:color w:val="auto"/>
                <w:sz w:val="18"/>
                <w:szCs w:val="18"/>
              </w:rPr>
              <w:t>Ⅳ</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对学生体育基础理论知识和基本技能的传授，培养学生树立“健康第一”的意识和终身体育思想，使学生掌握科学锻炼的基础知识、基本技能和有效方法，养成良好的锻炼习惯，全面提高学生的运动能力和体质健康水平。落实立德树人的根本任务，促进学生全面发展。</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3.大学生心理健康教育（及实践教学）</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本课程主要教授心理学和心理健康基本理论和概念，使学生掌握自我探索技能和心理调适技能, 树立心理健康发展的自主意识。本课程是集知识传授、心理体验与行为训练为一体的课程。</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教学方法包括观摩录像、团体辅导、小组讨论等。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4.思想道德修养与法律基础</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适应大学生成长成才需要，帮助大学生科学认识人生，加强道德修养，树立应有的法治观念，为大学生成长为全面发展的社会主义事业的建设者和接班人打下基础。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5.中国近现代史纲要</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要求学生掌握中国近代以来的国史、国情。提高运用科学的历史观和方法论分析历史问题、辨别历史是非的能力。了解四大选择的历史必然性和客观规律。</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先修课程：《思想道德修养与法律基础》；后修课程：《中国近现代史纲要》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6.形势与政策</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课程紧跟当前的形势发展与政策变化，抓住学生关注的热点、焦点问题，注重运用马克思主义的基本观点去解读和分析党的国家的方针政策和国内外形势的发展变化。</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理论课程属于课堂授课和网络通识学习相结合，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7.马克思主义基本</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原理</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学习马克思主义世界观和方法论，从整体上把握马克思主义基本原理，正确认识人类社会发展规律。学会运用马克思主义的立场、观点与方法去分析和解决问题。</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学习方法：课堂讨论、案例分析、观看视频、原典选读等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8.毛泽东思想和中国特色社会主义理论体系概论</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了解、掌握毛泽东思想、中国特色社会主义理论的科学涵义、形成和发展过程、科学体系、历史地位、指导意义、基本观点以及中国特色社会主义建设的路线、方针、政策。</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9.大学生职业生涯</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规划</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系统、科学的理论教学和互动性强的小组活动指导大学生掌握职业规划的知识和方法，促进大学生正确认识自我、探索职业社会、拟定符合自身实际情况的职业目标和职业发展道路，并在实践中积极行动，从而大大提升大学生的职业规划能力和就业能力。</w:t>
            </w:r>
          </w:p>
        </w:tc>
        <w:tc>
          <w:tcPr>
            <w:tcW w:w="3101" w:type="dxa"/>
            <w:vAlign w:val="center"/>
          </w:tcPr>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10.创业基础</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教授创业的基础知识和基本理论，熟悉创业的基本流程和基本方法，了解创业的法律法规和相关政策。采用团队模拟创业的授课方式激发学生的创业意识、团队合作意识、创新精神和创业能力，促进学生创业就业和全面发展。</w:t>
            </w:r>
          </w:p>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授课方式：借助智慧树在线教育平台完成课程的理论学习部分，线下由授课老师指导团队创业实践模拟。</w:t>
            </w:r>
          </w:p>
        </w:tc>
        <w:tc>
          <w:tcPr>
            <w:tcW w:w="3101" w:type="dxa"/>
            <w:vAlign w:val="center"/>
          </w:tcPr>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adjustRightInd w:val="0"/>
              <w:snapToGrid w:val="0"/>
              <w:spacing w:line="240" w:lineRule="exact"/>
              <w:rPr>
                <w:rFonts w:ascii="Times New Roman" w:hAnsi="Times New Roman" w:eastAsia="仿宋_GB2312"/>
                <w:color w:val="auto"/>
                <w:sz w:val="18"/>
                <w:szCs w:val="18"/>
              </w:rPr>
            </w:pPr>
            <w:r>
              <w:rPr>
                <w:rFonts w:ascii="Times New Roman" w:hAnsi="Times New Roman" w:eastAsia="仿宋_GB2312"/>
                <w:color w:val="auto"/>
                <w:sz w:val="18"/>
                <w:szCs w:val="18"/>
              </w:rPr>
              <w:t>11.军事理论</w:t>
            </w:r>
          </w:p>
        </w:tc>
        <w:tc>
          <w:tcPr>
            <w:tcW w:w="7605" w:type="dxa"/>
            <w:vAlign w:val="center"/>
          </w:tcPr>
          <w:p>
            <w:pPr>
              <w:adjustRightInd w:val="0"/>
              <w:snapToGrid w:val="0"/>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3101" w:type="dxa"/>
            <w:vAlign w:val="center"/>
          </w:tcPr>
          <w:p>
            <w:pPr>
              <w:adjustRightInd w:val="0"/>
              <w:snapToGrid w:val="0"/>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选修</w:t>
            </w: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英语课程、美育课程、计算机类课程、中国语言文学与优秀传统文化、创新创业类课程、文化素质类课程、文科、艺术等门类</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使学生掌握英语课程、美育课程、计算机类课程、中国语言文学与优秀传统文化、创新创业类课程、文化素质类课程、文科、艺术等门类知识；培养大学生的文化品位、审美情趣、人文素养；培养大学生自然科学素质。</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英语课程；美育课程；计算机类课程；中国语言文学与优秀传统文化；创新创业类课程；文科、艺术等门类；每门2学分。最低选修144学时12学分。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restart"/>
            <w:vAlign w:val="center"/>
          </w:tcPr>
          <w:p>
            <w:pPr>
              <w:adjustRightInd w:val="0"/>
              <w:snapToGrid w:val="0"/>
              <w:spacing w:line="240" w:lineRule="exact"/>
              <w:rPr>
                <w:rFonts w:ascii="Times New Roman" w:hAnsi="Times New Roman" w:eastAsia="仿宋_GB2312"/>
                <w:b/>
                <w:bCs/>
                <w:color w:val="auto"/>
                <w:sz w:val="18"/>
                <w:szCs w:val="18"/>
              </w:rPr>
            </w:pPr>
            <w:r>
              <w:rPr>
                <w:rFonts w:ascii="Times New Roman" w:hAnsi="Times New Roman" w:eastAsia="仿宋_GB2312"/>
                <w:b/>
                <w:bCs/>
                <w:color w:val="auto"/>
                <w:sz w:val="18"/>
                <w:szCs w:val="18"/>
              </w:rPr>
              <w:t>学科（专业）基础课程</w:t>
            </w:r>
          </w:p>
        </w:tc>
        <w:tc>
          <w:tcPr>
            <w:tcW w:w="671"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1.农业电气化工程导论</w:t>
            </w:r>
          </w:p>
        </w:tc>
        <w:tc>
          <w:tcPr>
            <w:tcW w:w="7605"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本课程主要任务是介绍当前本专业的前沿技术、培养目标及发展趋势。课程授课内容：根据学科、科研及工程实践发展，选择3－5个专题介绍农业电气化方面的最新技术。了解：</w:t>
            </w:r>
            <w:r>
              <w:rPr>
                <w:rFonts w:hint="eastAsia" w:ascii="宋体" w:hAnsi="宋体" w:cs="宋体"/>
                <w:bCs/>
                <w:color w:val="auto"/>
                <w:sz w:val="18"/>
                <w:szCs w:val="18"/>
              </w:rPr>
              <w:t>①</w:t>
            </w:r>
            <w:r>
              <w:rPr>
                <w:rFonts w:ascii="Times New Roman" w:hAnsi="Times New Roman" w:eastAsia="仿宋_GB2312"/>
                <w:bCs/>
                <w:color w:val="auto"/>
                <w:sz w:val="18"/>
                <w:szCs w:val="18"/>
              </w:rPr>
              <w:t>农业电气化领域的发展动态与科研方向；</w:t>
            </w:r>
            <w:r>
              <w:rPr>
                <w:rFonts w:hint="eastAsia" w:ascii="宋体" w:hAnsi="宋体" w:cs="宋体"/>
                <w:bCs/>
                <w:color w:val="auto"/>
                <w:sz w:val="18"/>
                <w:szCs w:val="18"/>
              </w:rPr>
              <w:t>②</w:t>
            </w:r>
            <w:r>
              <w:rPr>
                <w:rFonts w:ascii="Times New Roman" w:hAnsi="Times New Roman" w:eastAsia="仿宋_GB2312"/>
                <w:bCs/>
                <w:color w:val="auto"/>
                <w:sz w:val="18"/>
                <w:szCs w:val="18"/>
              </w:rPr>
              <w:t>农业电气化技术及应用；</w:t>
            </w:r>
            <w:r>
              <w:rPr>
                <w:rFonts w:hint="eastAsia" w:ascii="宋体" w:hAnsi="宋体" w:cs="宋体"/>
                <w:bCs/>
                <w:color w:val="auto"/>
                <w:sz w:val="18"/>
                <w:szCs w:val="18"/>
              </w:rPr>
              <w:t>③</w:t>
            </w:r>
            <w:r>
              <w:rPr>
                <w:rFonts w:ascii="Times New Roman" w:hAnsi="Times New Roman" w:eastAsia="仿宋_GB2312"/>
                <w:bCs/>
                <w:color w:val="auto"/>
                <w:sz w:val="18"/>
                <w:szCs w:val="18"/>
              </w:rPr>
              <w:t>农业电气化前沿技术及发展趋势。</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2.高等数学（上）</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以培养应用型、实践型的人才为教学目标，注重提高学生的数学素质、数学能力的培养，特别注重学生的自学能力和创新能力的培养。使学生掌握微积分的思想观点和基本方法，为后面学习下册及数学其它分支和许多后继专业课程打下良好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后续课程《高等数学(下)》，采用板书与多媒体结合的启发式教学方法。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3.工程图学</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使学生掌握正投影的基本画法；能正确使用绘图仪器，掌握绘图技能；较熟悉地阅读和绘制零件图和较简单的装配图，所绘制图符合国家标准；掌握机械制图的主要知识点，以便学生在今后的学习中及毕业后工作时都能有扎实的基础，以更快更好的胜任工作岗位。</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先修课程：无；后续课程：《电气工程计算机绘图》。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4.C语言程序设计</w:t>
            </w:r>
            <w:r>
              <w:rPr>
                <w:rFonts w:hint="eastAsia" w:ascii="Times New Roman" w:hAnsi="Times New Roman" w:eastAsia="仿宋_GB2312"/>
                <w:bCs/>
                <w:color w:val="auto"/>
                <w:sz w:val="18"/>
                <w:szCs w:val="18"/>
              </w:rPr>
              <w:t>C</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通过本课程，培养学生形成应用信息技术分析解决问题的观念，掌握程序设计的方法和技巧；在逻辑思维能力、表达能力与综合设计能力等诸多方面，为学生职业生涯的发展和终身学习能力的培养奠定基础。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先修课程：《计算机基础》；</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后续课程：《Python程序设计》、《</w:t>
            </w:r>
            <w:r>
              <w:rPr>
                <w:rFonts w:hint="eastAsia" w:ascii="Times New Roman" w:hAnsi="Times New Roman" w:eastAsia="仿宋_GB2312"/>
                <w:bCs/>
                <w:color w:val="auto"/>
                <w:sz w:val="18"/>
                <w:szCs w:val="18"/>
              </w:rPr>
              <w:t>单片机原理与应用</w:t>
            </w:r>
            <w:r>
              <w:rPr>
                <w:rFonts w:ascii="Times New Roman" w:hAnsi="Times New Roman"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5.高等数学（下）</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以提高学生的数学素质、掌握多元函数微积分的基本思想方法和培养学生的数学应用创新能力为教学目标。通过学习该课程，培养学生的抽象思维能力和逻辑推导能力，及综合运用所学知识分析问题和解决问题的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先修课程：《高等数学(上)》；</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概率论与数理统计A</w:t>
            </w:r>
            <w:r>
              <w:rPr>
                <w:rFonts w:ascii="Times New Roman" w:hAnsi="Times New Roman" w:eastAsia="仿宋_GB2312"/>
                <w:bCs/>
                <w:color w:val="auto"/>
                <w:sz w:val="18"/>
                <w:szCs w:val="18"/>
              </w:rPr>
              <w:t>》、《复变函数与积分变换》等。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6.</w:t>
            </w:r>
            <w:r>
              <w:rPr>
                <w:rFonts w:hint="eastAsia" w:ascii="Times New Roman" w:hAnsi="Times New Roman" w:eastAsia="仿宋_GB2312"/>
                <w:bCs/>
                <w:color w:val="auto"/>
                <w:sz w:val="18"/>
                <w:szCs w:val="18"/>
                <w:lang w:eastAsia="zh-CN"/>
              </w:rPr>
              <w:t>线性代数A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主要掌握行列式、矩阵、线性方程组、二次型等。通过本课程的学习，可以培养学生的抽象思维、逻辑推理和空间想象能力。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后续课程：《计算方法》及其它专业课程。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7.复变函数与积分变换</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以提高学生的数学素质、掌握复变函数与积分变换的理论和方法在自然科学各部门和各种工程技术领域中的广泛应用为教学目标。通过本课程的学习，使学生掌握其基本内容，为学习后继课程和自我更新奠定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后续课程：《电路分析》、《电磁场</w:t>
            </w:r>
            <w:r>
              <w:rPr>
                <w:rFonts w:hint="eastAsia" w:ascii="Times New Roman" w:hAnsi="Times New Roman" w:eastAsia="仿宋_GB2312"/>
                <w:bCs/>
                <w:color w:val="auto"/>
                <w:sz w:val="18"/>
                <w:szCs w:val="18"/>
                <w:lang w:val="en-US" w:eastAsia="zh-CN"/>
              </w:rPr>
              <w:t>B</w:t>
            </w:r>
            <w:r>
              <w:rPr>
                <w:rFonts w:ascii="Times New Roman" w:hAnsi="Times New Roman" w:eastAsia="仿宋_GB2312"/>
                <w:bCs/>
                <w:color w:val="auto"/>
                <w:sz w:val="18"/>
                <w:szCs w:val="18"/>
              </w:rPr>
              <w:t>》、《自动控制原理》等专业课程。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8.普通物理</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该课程基本内容包括质点力学、气体动理论、热力学、电磁学、光学及近代物理基础，其基本概念、理论和方法是一名科学工作者和工程技术人员所必备的科学素养。</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先修课程：《高等数学(上)》、《高等数学(下)》；</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后续课程：《电路分析》、《</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9.物理实验</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大学物理实验本科生接受系统实验方法和实验技能训练的开端。本课程能提供综合性很强的基本实验技能训练，是培养学生科学实验能力、提高科学素质和创新思维的重要基础课程。</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先修课程：《普通物理》；</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10电路分析</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本课程的目的是通过对电路基本理论和电路分析方法的学习，培养学生扎实的电路分析能力。本课程的任务是使学生掌握电路的基本理论、基本分析方法，为后续课程的学习准备必要的电路理论知识和分析方法。</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先修课程：《高等数学》、《复变函数与积分变换》、《</w:t>
            </w:r>
            <w:r>
              <w:rPr>
                <w:rFonts w:hint="eastAsia" w:ascii="Times New Roman" w:hAnsi="Times New Roman" w:eastAsia="仿宋_GB2312"/>
                <w:bCs/>
                <w:color w:val="auto"/>
                <w:sz w:val="18"/>
                <w:szCs w:val="18"/>
                <w:lang w:eastAsia="zh-CN"/>
              </w:rPr>
              <w:t>线性代数A</w:t>
            </w:r>
            <w:r>
              <w:rPr>
                <w:rFonts w:ascii="Times New Roman" w:hAnsi="Times New Roman" w:eastAsia="仿宋_GB2312"/>
                <w:bCs/>
                <w:color w:val="auto"/>
                <w:sz w:val="18"/>
                <w:szCs w:val="18"/>
              </w:rPr>
              <w:t>》；后续课程：该课程为本专业后续课程的基础。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11.电路分析实验</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通过本课程的学习，使学生掌握电路实验的基本方法，常用电工仪表的使用方法，具备一定的实验技能，能够独立分析问题和解决问题。</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先修课程：《电路分析》；后续课程：电类专业课及拓展课。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12.</w:t>
            </w:r>
            <w:r>
              <w:rPr>
                <w:rFonts w:hint="eastAsia" w:ascii="Times New Roman" w:hAnsi="Times New Roman" w:eastAsia="仿宋_GB2312"/>
                <w:bCs/>
                <w:color w:val="auto"/>
                <w:sz w:val="18"/>
                <w:szCs w:val="18"/>
                <w:lang w:eastAsia="zh-CN"/>
              </w:rPr>
              <w:t>数字电子技术B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应该掌握数字逻辑的表达方法以及相互转化，掌握公式的各种化简方法和思路，学会并掌握用门电路及其集成芯片构成各种组合逻辑电路的方法。学会并掌握对于基于触发器及其集成芯片构成各种数序逻辑电路的分析方法，并对简单的相应设计电路具备一定的设计知识储备。</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后续课程：《传感器与检测技术》等。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13.</w:t>
            </w:r>
            <w:r>
              <w:rPr>
                <w:rFonts w:hint="eastAsia" w:ascii="Times New Roman" w:hAnsi="Times New Roman" w:eastAsia="仿宋_GB2312"/>
                <w:bCs/>
                <w:color w:val="auto"/>
                <w:sz w:val="18"/>
                <w:szCs w:val="18"/>
                <w:lang w:eastAsia="zh-CN"/>
              </w:rPr>
              <w:t>模拟电子技术C</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该课程的学习应该掌握有源放大器的内部结构及其工作原理、单级放大电路的基本理论、多级放大电路的构成思路及其分析方法、了解集成运放的构成原理、掌握集成运放构成运算电路的原理并学会搭建的基本技能，掌握集成运放构成信号发生电路的基本原理并会设计初步的相关实用电路，了解各级模拟电路对信号频率的适应性，掌握搭建各级低压直流电源的基本技能。</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14.</w:t>
            </w:r>
            <w:r>
              <w:rPr>
                <w:rFonts w:hint="eastAsia" w:ascii="Times New Roman" w:hAnsi="Times New Roman" w:eastAsia="仿宋_GB2312"/>
                <w:bCs/>
                <w:color w:val="auto"/>
                <w:sz w:val="18"/>
                <w:szCs w:val="18"/>
                <w:lang w:eastAsia="zh-CN"/>
              </w:rPr>
              <w:t>工程化学B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目的要求：化学基本原理\原子结构\分子结构（Na2CO3的制备、自来水硬度的测定）</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先修课程：《高中化学》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16.</w:t>
            </w:r>
            <w:r>
              <w:rPr>
                <w:rFonts w:hint="eastAsia" w:ascii="Times New Roman" w:hAnsi="Times New Roman" w:eastAsia="仿宋_GB2312"/>
                <w:bCs/>
                <w:color w:val="auto"/>
                <w:sz w:val="18"/>
                <w:szCs w:val="18"/>
                <w:lang w:eastAsia="zh-CN"/>
              </w:rPr>
              <w:t>概率论与数理统计A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随机事件及其概率、一维随机变量及其概率分布、多维随机变量及其概率分布、随机变量的数字特征、大数定律及其中心极限定理、数理统计基础知识、参数估计、假设检验等。是后续专业统计类课程的理论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后续课程：《计算方法》等。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17.计算方法</w:t>
            </w:r>
            <w:r>
              <w:rPr>
                <w:rFonts w:hint="eastAsia" w:ascii="Times New Roman" w:hAnsi="Times New Roman" w:eastAsia="仿宋_GB2312"/>
                <w:bCs/>
                <w:color w:val="auto"/>
                <w:sz w:val="18"/>
                <w:szCs w:val="18"/>
              </w:rPr>
              <w:t>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线性规划问题的数学模型，线性规划问题解的性质，单纯形方法，对偶线性规划问题，灵敏度分析，运输问题。</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线性代数A</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概率论与数理统计A</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专业课程</w:t>
            </w:r>
          </w:p>
        </w:tc>
        <w:tc>
          <w:tcPr>
            <w:tcW w:w="671"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lang w:eastAsia="zh-CN"/>
              </w:rPr>
              <w:t>电机与拖动基础A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主要掌握各类电机的基本结构、工作原理和特性，以及电力拖动的基本理论和基础知识。其内容包括：直流电机及拖动、变压器、三相异步电动机及拖动、同步电机、驱动和控制微电机等。通过本课程的学习，使学生对电机的电磁作用原理和能量转换关系、及电机的运行特性有比较系统的认识和理解，培养理论联系实际的科学作风，树立工程观念，掌握简单的工程计算方法，培训学生的实验技能及分析解决问题的初步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先修课程：《高等数学》、《大学物理》、《电路分析》；</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电气控制与PLC（A）</w:t>
            </w:r>
            <w:r>
              <w:rPr>
                <w:rFonts w:ascii="Times New Roman" w:hAnsi="Times New Roman" w:eastAsia="仿宋_GB2312"/>
                <w:bCs/>
                <w:color w:val="auto"/>
                <w:sz w:val="18"/>
                <w:szCs w:val="18"/>
              </w:rPr>
              <w:t>》、《控制电机》等。</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学习方法：混合式教学+翻转课堂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lang w:eastAsia="zh-CN"/>
              </w:rPr>
              <w:t>单片机原理与应用</w:t>
            </w:r>
            <w:r>
              <w:rPr>
                <w:rFonts w:hint="eastAsia" w:ascii="Times New Roman" w:hAnsi="Times New Roman" w:eastAsia="仿宋_GB2312"/>
                <w:bCs/>
                <w:color w:val="auto"/>
                <w:sz w:val="18"/>
                <w:szCs w:val="18"/>
                <w:lang w:val="en-US" w:eastAsia="zh-CN"/>
              </w:rPr>
              <w:t>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使学生掌握单片机硬件基础知识、单片机体系结构与工作环境、编程基础、定时器原理、数码管动态静态显示原理、中断系统等方面的知识，另一方面，该课程具有很强的实用性，培养学生解决具体工程问题的能力和培养学生的工程意识。</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》等；后续课程：《自动控制原理》等。</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学习方法：混合式教学+翻转课堂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3.</w:t>
            </w:r>
            <w:r>
              <w:rPr>
                <w:rFonts w:hint="eastAsia" w:ascii="Times New Roman" w:hAnsi="Times New Roman" w:eastAsia="仿宋_GB2312"/>
                <w:bCs/>
                <w:color w:val="auto"/>
                <w:sz w:val="18"/>
                <w:szCs w:val="18"/>
                <w:lang w:eastAsia="zh-CN"/>
              </w:rPr>
              <w:t>电气控制与PLC（A）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熟悉低压电器的结构、原理、符号及用途等，掌握电气控制线路设计分析方法；以三菱公司FX系列PLC为目标机型，熟悉或理解小型、中型PLC的有关技术指标、功能特点、工作原理，掌握三菱PLC的硬件选型与软件编程以及网络通信和人机界面组态与设计等。</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电机与拖动基础A</w:t>
            </w:r>
            <w:r>
              <w:rPr>
                <w:rFonts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电气控制与PLC（A）</w:t>
            </w:r>
            <w:r>
              <w:rPr>
                <w:rFonts w:ascii="Times New Roman" w:hAnsi="Times New Roman" w:eastAsia="仿宋_GB2312"/>
                <w:bCs/>
                <w:color w:val="auto"/>
                <w:sz w:val="18"/>
                <w:szCs w:val="18"/>
              </w:rPr>
              <w:t>综合实验》。在学习中，勤于思考、认真钻研，最终掌握PLC的自动控制系统的设计原则、步骤和方法。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4.</w:t>
            </w:r>
            <w:r>
              <w:rPr>
                <w:rFonts w:hint="eastAsia" w:ascii="Times New Roman" w:hAnsi="Times New Roman" w:eastAsia="仿宋_GB2312"/>
                <w:bCs/>
                <w:color w:val="auto"/>
                <w:sz w:val="18"/>
                <w:szCs w:val="18"/>
                <w:lang w:eastAsia="zh-CN"/>
              </w:rPr>
              <w:t>电机与拖动基础A</w:t>
            </w:r>
            <w:r>
              <w:rPr>
                <w:rFonts w:ascii="Times New Roman" w:hAnsi="Times New Roman" w:eastAsia="仿宋_GB2312"/>
                <w:bCs/>
                <w:color w:val="auto"/>
                <w:sz w:val="18"/>
                <w:szCs w:val="18"/>
              </w:rPr>
              <w:t>实验</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掌握直流电机的机械特性测试、直流电机的启动、调速和制动；变压器的空载实验、短路试验；异步电动机的星-三角降压气动；异步电机的空载实验、短路试验等。</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电机与拖动基础A</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后续课程：《电气PLC课程设计》。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5.</w:t>
            </w:r>
            <w:r>
              <w:rPr>
                <w:rFonts w:hint="eastAsia" w:ascii="Times New Roman" w:hAnsi="Times New Roman" w:eastAsia="仿宋_GB2312"/>
                <w:bCs/>
                <w:color w:val="auto"/>
                <w:sz w:val="18"/>
                <w:szCs w:val="18"/>
                <w:lang w:eastAsia="zh-CN"/>
              </w:rPr>
              <w:t>电力电子技术A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使学生熟练各种电力电子器件的特性和使用方法；掌握各种电力电子电路的结构、工作原理、控制方法、设计计算方法及实验技能；熟练各种电力电子装置的应用范围及技术经济指标，培养学生的分析问题和解决问题的能力，为后续课程及从事与电气工程相关的技术工作和科学研究打下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前修课程包含：《</w:t>
            </w:r>
            <w:r>
              <w:rPr>
                <w:rFonts w:hint="eastAsia" w:ascii="Times New Roman" w:hAnsi="Times New Roman" w:eastAsia="仿宋_GB2312"/>
                <w:bCs/>
                <w:color w:val="auto"/>
                <w:sz w:val="18"/>
                <w:szCs w:val="18"/>
                <w:lang w:eastAsia="zh-CN"/>
              </w:rPr>
              <w:t>单片机原理与应用</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电机与拖动基础A</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后续课程：《电力拖动自动控制系统》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6.自动控制原理</w:t>
            </w:r>
            <w:r>
              <w:rPr>
                <w:rFonts w:hint="eastAsia" w:ascii="Times New Roman" w:hAnsi="Times New Roman" w:eastAsia="仿宋_GB2312"/>
                <w:bCs/>
                <w:color w:val="auto"/>
                <w:sz w:val="18"/>
                <w:szCs w:val="18"/>
              </w:rPr>
              <w:t>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课程的学习目的在于掌握自动控制系统的基本理论以及系统分析与设计方法。课程主要内容包括：控制系统的基本概念，线性系统的数学模型，稳定性分析，时域、频域分析法，根轨迹分析，性能校正，以及离散和非线性控制系统分析等。</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先修课程：《高等数学》、《复变函数》、《</w:t>
            </w:r>
            <w:r>
              <w:rPr>
                <w:rFonts w:hint="eastAsia" w:ascii="Times New Roman" w:hAnsi="Times New Roman" w:eastAsia="仿宋_GB2312"/>
                <w:bCs/>
                <w:color w:val="auto"/>
                <w:sz w:val="18"/>
                <w:szCs w:val="18"/>
                <w:lang w:eastAsia="zh-CN"/>
              </w:rPr>
              <w:t>线性代数A</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》等；后续课程：《电力拖动自动控制系统》等。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7.通信原理</w:t>
            </w:r>
            <w:r>
              <w:rPr>
                <w:rFonts w:hint="eastAsia" w:ascii="Times New Roman" w:hAnsi="Times New Roman" w:eastAsia="仿宋_GB2312"/>
                <w:bCs/>
                <w:color w:val="auto"/>
                <w:sz w:val="18"/>
                <w:szCs w:val="18"/>
              </w:rPr>
              <w:t>D</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使学生掌握现代通信，尤其是数字通信的基本概念、基本理论以及基本的分析方法；熟悉通信系统的组成和工作原理；了解通信系统主要组成部分的实现方法；提高学生的通信专业技术能力。培养学生对通信系统的分析与设计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先修课程：《信号分析》</w:t>
            </w:r>
          </w:p>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8.传感器与检测技术</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该课程学生应能掌握主要传感器的工作原理，理解测试信号转换与调理的基本方法及测试系统的基本特性。掌握主要传感器的特性及传感器的选用原则和应用电路设计；掌握传感器特性实验、标定实验的技能。</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》；后续课程：《通信原理》等。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专业拓展课程</w:t>
            </w:r>
          </w:p>
        </w:tc>
        <w:tc>
          <w:tcPr>
            <w:tcW w:w="671"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选修</w:t>
            </w: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lang w:eastAsia="zh-CN"/>
              </w:rPr>
              <w:t>电力工程基础B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使学生了解发电厂变电站的基本类型、基本构成，了解业内电力设计及运行大致情况。理解发电厂、变电站电气主接线的设计原则、厂用电的基本知识、发电厂变电站基本设备的原理。掌握发电厂、变电站电气主接线的设计步骤、基本设备的选择方法和步骤。</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先修课程：《电路分析》、《电磁场</w:t>
            </w:r>
            <w:r>
              <w:rPr>
                <w:rFonts w:hint="eastAsia" w:ascii="Times New Roman" w:hAnsi="Times New Roman" w:eastAsia="仿宋_GB2312"/>
                <w:bCs/>
                <w:color w:val="auto"/>
                <w:sz w:val="18"/>
                <w:szCs w:val="18"/>
                <w:lang w:val="en-US" w:eastAsia="zh-CN"/>
              </w:rPr>
              <w:t>B</w:t>
            </w:r>
            <w:r>
              <w:rPr>
                <w:rFonts w:ascii="Times New Roman" w:hAnsi="Times New Roman" w:eastAsia="仿宋_GB2312"/>
                <w:bCs/>
                <w:color w:val="auto"/>
                <w:sz w:val="18"/>
                <w:szCs w:val="18"/>
              </w:rPr>
              <w:t>》。后续课程：《电力系统分析》、《专业综合实习》。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2.高电压技术</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高电压技术主要研究高电压、强电场下的各种电气物理问题，本课程主要介绍各种电介质的绝缘特性和电气强度、电力系统过电压防护及其绝缘配合、电气绝缘与高电压试验的知识，使学生掌握电介质的电气特性、电气设备绝缘及其试验以及电力系统过电压及其防护的基本知识概念。</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先修课程：《电路分析》、《电磁场</w:t>
            </w:r>
            <w:r>
              <w:rPr>
                <w:rFonts w:hint="eastAsia" w:ascii="Times New Roman" w:hAnsi="Times New Roman" w:eastAsia="仿宋_GB2312"/>
                <w:bCs/>
                <w:color w:val="auto"/>
                <w:sz w:val="18"/>
                <w:szCs w:val="18"/>
                <w:lang w:val="en-US" w:eastAsia="zh-CN"/>
              </w:rPr>
              <w:t>B</w:t>
            </w: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3.电力系统分析</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使学生了解和掌握现代电力系统研究现状的分析、设计方法和发展方向、特点，为进一步研究电力系统分析和运行问题提供良好的基础，并使学生在电力系统方面工程计算能力及分析和解决问题的能力得到训练和培养。</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先修课程：《电路分析》、《电磁场</w:t>
            </w:r>
            <w:r>
              <w:rPr>
                <w:rFonts w:hint="eastAsia" w:ascii="Times New Roman" w:hAnsi="Times New Roman" w:eastAsia="仿宋_GB2312"/>
                <w:bCs/>
                <w:color w:val="auto"/>
                <w:sz w:val="18"/>
                <w:szCs w:val="18"/>
                <w:lang w:val="en-US" w:eastAsia="zh-CN"/>
              </w:rPr>
              <w:t>B</w:t>
            </w:r>
            <w:r>
              <w:rPr>
                <w:rFonts w:ascii="Times New Roman" w:hAnsi="Times New Roman" w:eastAsia="仿宋_GB2312"/>
                <w:bCs/>
                <w:color w:val="auto"/>
                <w:sz w:val="18"/>
                <w:szCs w:val="18"/>
              </w:rPr>
              <w:t>》；后续课程：《电力系统继电保护》等。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4.电力系统继电保护</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主要介绍电力系统继电保护的基本原理、构成方法及运行特性分析。目的是使学生掌握电力系统继电保护的基本原理、整定计算及运行分析方法，为从事电力系统及相关领域的设计制造、运行维护和科学研究打下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先修课程：《电磁场</w:t>
            </w:r>
            <w:r>
              <w:rPr>
                <w:rFonts w:hint="eastAsia" w:ascii="Times New Roman" w:hAnsi="Times New Roman" w:eastAsia="仿宋_GB2312"/>
                <w:bCs/>
                <w:color w:val="auto"/>
                <w:sz w:val="18"/>
                <w:szCs w:val="18"/>
                <w:lang w:val="en-US" w:eastAsia="zh-CN"/>
              </w:rPr>
              <w:t>B</w:t>
            </w:r>
            <w:r>
              <w:rPr>
                <w:rFonts w:ascii="Times New Roman" w:hAnsi="Times New Roman" w:eastAsia="仿宋_GB2312"/>
                <w:bCs/>
                <w:color w:val="auto"/>
                <w:sz w:val="18"/>
                <w:szCs w:val="18"/>
              </w:rPr>
              <w:t>》、《电力系统分析》等；后续课程：《专业综合实习》等。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5.电力系统自动化</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是电气工程及其自动化专业的一门专业限选课，重点介绍发电机自动并列与励磁控制、电力系统电压与频率调节、调度自动化的基本原理、系统构成、关键技术与性能特点。通过本课程的学习，学生应了解电力自动化系统以及自动装置的重要作用，掌握电力系统中常用自动化系统和自动装置的构成、工作原理、性能、运行特性以及有关参数的整定计算，了解发展现状及趋势。同时培养一定分析和解决问题的能力，为从事相关系统的调试、管理、开发与研究等工作打下必要的基础。通过本课程学习使学生重点掌握发电机控制、电力系统有功功率和无功功率调节以及调度自动化等电力自动化装置或系统的基本概念、作用、原理以及特性等知识，使学生毕业后在从事电力系统设计、运行或科研工作时具备必需的基本知识。</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先修课程：《电力系统分析》</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教材及参考资料：</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1.《电力系统自动化》第三版，王葵等，中国电力出版社，2012；</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2.《电力系统自动装置原理》，杨冠城，中国电力出版社，2007。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6.Python语言程序设计</w:t>
            </w:r>
            <w:r>
              <w:rPr>
                <w:rFonts w:hint="eastAsia" w:ascii="Times New Roman" w:hAnsi="Times New Roman" w:eastAsia="仿宋_GB2312"/>
                <w:bCs/>
                <w:color w:val="auto"/>
                <w:sz w:val="18"/>
                <w:szCs w:val="18"/>
                <w:lang w:val="en-US" w:eastAsia="zh-CN"/>
              </w:rPr>
              <w:t>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这是新兴的人工智能程序设计语言。通过本课程的学习，使得学生能够理解Python的编程模式，尤其是函数式编程模式，熟练运用Python内置函数与运算符、列表、元组、字典、集合等基本数据类型以及相关列表推导式、切片等语法来解决实际问题，熟练掌握Python分支结构、循环结构、函数设计以及类的设计与使用，同时使得学生掌握不同领域的Python扩展模块并能够解决文件操作、数据处理等领域中的实际问题。</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先修课程：《计算机基础》、《C语言程序设计》后续课程：《</w:t>
            </w:r>
            <w:r>
              <w:rPr>
                <w:rFonts w:hint="eastAsia" w:ascii="Times New Roman" w:hAnsi="Times New Roman" w:eastAsia="仿宋_GB2312"/>
                <w:bCs/>
                <w:color w:val="auto"/>
                <w:sz w:val="18"/>
                <w:szCs w:val="18"/>
                <w:lang w:eastAsia="zh-CN"/>
              </w:rPr>
              <w:t>机器学习与人工智能B</w:t>
            </w:r>
            <w:r>
              <w:rPr>
                <w:rFonts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7.气动与液压控制技术</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课程的主要目的是使学生在完成课程的学习后具有根据主机负载的需要进行液压传动及控制系统设计的能力，其内容主要包括液压流体力学的基础知识，组成系统各类元件的结构、工作原理、工作性能及由这些元件组成的各种基本控制回路的性能特点等；培养学生在掌握液压传动于控制理论基础上，能分析和设计液压系统，切实做到理论联系实际，学有所用，为现代化建设及液压技术的发展做出贡献。</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先修课程：《工程图学》；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8.电气工程计算机绘图</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讲授，使学生达到：理解电气工程制图的原则和各类相关规范；了解电气图的类型；掌握电气工程制图的软件；掌握电路识图的方法；在熟读电气工程图的基础上,能根据要求进行各类电气工程图的设计。</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》等；后续课程：《</w:t>
            </w:r>
            <w:r>
              <w:rPr>
                <w:rFonts w:hint="eastAsia" w:ascii="Times New Roman" w:hAnsi="Times New Roman" w:eastAsia="仿宋_GB2312"/>
                <w:bCs/>
                <w:color w:val="auto"/>
                <w:sz w:val="18"/>
                <w:szCs w:val="18"/>
                <w:lang w:eastAsia="zh-CN"/>
              </w:rPr>
              <w:t>电气控制与PLC（A）</w:t>
            </w:r>
            <w:r>
              <w:rPr>
                <w:rFonts w:ascii="Times New Roman" w:hAnsi="Times New Roman"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9.西门子PLC原理与应用</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课堂实践教学环节以及与前续理论教学环节相结合，使学生掌握PLC位逻辑指令系统、定时器指令、计数器指令和应用指令系统。培养学生掌握基于PLC、变频器、触摸屏等元部件构成自动控制系统的基本规律、分析方法和工程应用实践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前修：《自动控制原理》、《</w:t>
            </w:r>
            <w:r>
              <w:rPr>
                <w:rFonts w:hint="eastAsia" w:ascii="Times New Roman" w:hAnsi="Times New Roman" w:eastAsia="仿宋_GB2312"/>
                <w:bCs/>
                <w:color w:val="auto"/>
                <w:sz w:val="18"/>
                <w:szCs w:val="18"/>
                <w:lang w:eastAsia="zh-CN"/>
              </w:rPr>
              <w:t>电气控制与PLC（A）</w:t>
            </w:r>
            <w:r>
              <w:rPr>
                <w:rFonts w:ascii="Times New Roman" w:hAnsi="Times New Roman" w:eastAsia="仿宋_GB2312"/>
                <w:bCs/>
                <w:color w:val="auto"/>
                <w:sz w:val="18"/>
                <w:szCs w:val="18"/>
              </w:rPr>
              <w:t>》；后续：《专业综合实习》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r>
              <w:rPr>
                <w:rFonts w:hint="eastAsia" w:ascii="Times New Roman" w:hAnsi="Times New Roman" w:eastAsia="仿宋_GB2312"/>
                <w:bCs/>
                <w:color w:val="auto"/>
                <w:sz w:val="18"/>
                <w:szCs w:val="18"/>
              </w:rPr>
              <w:t>MATLAB及系统仿真</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本课程是控制理论与MATLAB语言相结合的应用成果。以MATLAB描述的传递函数和Simulink模型的稳定性判定为主线，把相关内容贯穿起来，使学生掌握机电控制、电力系统、</w:t>
            </w:r>
            <w:r>
              <w:rPr>
                <w:rFonts w:hint="eastAsia" w:ascii="Times New Roman" w:hAnsi="Times New Roman" w:eastAsia="仿宋_GB2312"/>
                <w:bCs/>
                <w:color w:val="auto"/>
                <w:sz w:val="18"/>
                <w:szCs w:val="18"/>
                <w:lang w:eastAsia="zh-CN"/>
              </w:rPr>
              <w:t>电力电子技术A</w:t>
            </w:r>
            <w:r>
              <w:rPr>
                <w:rFonts w:ascii="Times New Roman" w:hAnsi="Times New Roman" w:eastAsia="仿宋_GB2312"/>
                <w:bCs/>
                <w:color w:val="auto"/>
                <w:sz w:val="18"/>
                <w:szCs w:val="18"/>
              </w:rPr>
              <w:t>的仿真和调试的相关内容。使学生掌握并能够构建仿真模型。</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前修：《自动控制原理》、《</w:t>
            </w:r>
            <w:r>
              <w:rPr>
                <w:rFonts w:hint="eastAsia" w:ascii="Times New Roman" w:hAnsi="Times New Roman" w:eastAsia="仿宋_GB2312"/>
                <w:bCs/>
                <w:color w:val="auto"/>
                <w:sz w:val="18"/>
                <w:szCs w:val="18"/>
                <w:lang w:eastAsia="zh-CN"/>
              </w:rPr>
              <w:t>电力电子技术A</w:t>
            </w:r>
            <w:r>
              <w:rPr>
                <w:rFonts w:ascii="Times New Roman" w:hAnsi="Times New Roman" w:eastAsia="仿宋_GB2312"/>
                <w:bCs/>
                <w:color w:val="auto"/>
                <w:sz w:val="18"/>
                <w:szCs w:val="18"/>
              </w:rPr>
              <w:t>》；后续：《专业综合实习》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11.电力拖动自动控制系统</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对各种电机调速系统的构成、运行原理、控制方法等内容的介绍和分析以及实验论证，使学生能掌握各种电力拖动自动控制装置的原理、运行和分析方法。培养学生分析问题、解决问题的能力，启发学生的创造性思维。</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先修课程：《电路分析》、《自动控制原理》；后续课程：《专业综合实习》等。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12.</w:t>
            </w:r>
            <w:r>
              <w:rPr>
                <w:rFonts w:hint="eastAsia" w:ascii="Times New Roman" w:hAnsi="Times New Roman" w:eastAsia="仿宋_GB2312"/>
                <w:bCs/>
                <w:color w:val="auto"/>
                <w:sz w:val="18"/>
                <w:szCs w:val="18"/>
                <w:lang w:eastAsia="zh-CN"/>
              </w:rPr>
              <w:t>机器学习与人工智能B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可以让学生掌握人工智能的基本原理、算法和应用技术。掌握机器学习和深度学习的原理，并掌握Python编程语言及其在机器学习方面的应用。这些技术将运用在制造业、医疗保健、建筑业、在线零售业等几乎各个行业中。</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先修课程：《C语言程序设计》、《Python语言程序设计》。全机房讲练一体化教学。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13.运动控制系统设计</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门课的学习，掌握运动控制系统的基本类型，构成运动控制系统的基本元件及部件的结构、工作原理、使用方法。运动控制系统的构成原理，掌握运动控制器原理、选型方法；实现运动控制功能的编程方法；运动控制系统数学模型的建立及性能分析，具备运动控制系统的初步设计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先修课程：《自动控制原理》</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14.虚拟仪器技术</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通过学习和实践，学会LABVIEW的实用方法和编程方法。培养学生自己动手设计开发仪器和组建自动测试系统的能力。使学生具备一定的实验技能，为后续的实践课程打下必要的基础。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先修课程：《电路分析》；</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15.电磁场</w:t>
            </w:r>
            <w:r>
              <w:rPr>
                <w:rFonts w:hint="eastAsia" w:ascii="Times New Roman" w:hAnsi="Times New Roman" w:eastAsia="仿宋_GB2312"/>
                <w:bCs/>
                <w:color w:val="auto"/>
                <w:sz w:val="18"/>
                <w:szCs w:val="18"/>
                <w:lang w:val="en-US" w:eastAsia="zh-CN"/>
              </w:rPr>
              <w:t>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在电磁学的基础上进一步阐述宏观电磁现象的基本规律，介绍其在工程应用方面的基本知识，培养学生能应用场的观点和方法对电工领域中的电磁现象、电磁过程进行定性分析与判断的能力，培养学生对电磁场进行定量分析的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先修课程：《高等数学》、《复变函数》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16.</w:t>
            </w:r>
            <w:r>
              <w:rPr>
                <w:rFonts w:hint="eastAsia" w:ascii="Times New Roman" w:hAnsi="Times New Roman" w:eastAsia="仿宋_GB2312"/>
                <w:bCs/>
                <w:color w:val="auto"/>
                <w:sz w:val="18"/>
                <w:szCs w:val="18"/>
                <w:lang w:eastAsia="zh-CN"/>
              </w:rPr>
              <w:t>电子工艺及线路绘图B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通过课程使学生了解现代电子产品的基本生产工艺、元件的种类和封装形式、PCB板的类型和计算机辅助设计及电子设计自动化的概念，掌握DXP 2004进行电子线路原理图和PCB图绘制的方法，并能够熟练运用；具备基本的电子工艺知识和专业技能。</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》与《</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电子工艺实习A</w:t>
            </w:r>
            <w:r>
              <w:rPr>
                <w:rFonts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17.</w:t>
            </w:r>
            <w:r>
              <w:rPr>
                <w:rFonts w:hint="eastAsia" w:ascii="Times New Roman" w:hAnsi="Times New Roman" w:eastAsia="仿宋_GB2312"/>
                <w:bCs/>
                <w:color w:val="auto"/>
                <w:sz w:val="18"/>
                <w:szCs w:val="18"/>
                <w:lang w:eastAsia="zh-CN"/>
              </w:rPr>
              <w:t>电子设计自动化（EDA）C</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对本课程的学习，学生能较好地掌握全新的硬件电子系统的设计技术，更深刻地了解计算机软件语言与硬件语言实现的现代电子系统设计能力。通过理论学习与实践设计锻炼的紧密结合，提高理论与工程实际相结合的能力，为未来进一步的学习和工作实践奠定良好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后续课程：《专业综合实习》、《专业毕业实习》。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18.Java程序设计</w:t>
            </w:r>
            <w:r>
              <w:rPr>
                <w:rFonts w:hint="eastAsia" w:ascii="Times New Roman" w:hAnsi="Times New Roman" w:eastAsia="仿宋_GB2312"/>
                <w:bCs/>
                <w:color w:val="auto"/>
                <w:sz w:val="18"/>
                <w:szCs w:val="18"/>
                <w:lang w:val="en-US" w:eastAsia="zh-CN"/>
              </w:rPr>
              <w:t>B</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通过课程教学使学生掌握Java框架基础知识体系，掌握运用Java进行面向对象程序分析、设计和功能实现，掌握JDK的特性，培养学生使用集成环境进行Java程序的开发、调试和运行能力。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前修：《C语言程序设计》；</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19.电气工程专业英语</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通过本课程的学习，基本掌握专业英语的特点、翻译技巧，拥有一定数量的专业词汇量，熟悉本专业常用英语词汇及相关的语法和习惯表达方式，能够从专业外文资料中获取知识。</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先修课程：《大学英语》。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20.ARM体系结构与程序设计</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计算机应用、电子类等专业的一门实践应用较强的课程，是嵌入式课程体系中非常得要的一门基础课程。该课程主要内容包括ARM体系结构与编程、STM32程序开发设计和调试。掌握该课程的内容，使学生能够具备基本的STM32平台的程序、应用程序和驱动程序的开发能力，为后续进一步在该领域的深造奠定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先修课程：《C语言程序设计》、《电路分析》、《</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21.控制电机</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该课程主要目的在于使学生在掌握各种普通电机工作院里的基础上，熟悉自动控制系统中常用的各种控制电机的工作原理、工作特性和使用方法，其中包括旋转变压器、交直流伺服电动机等，为学生将来从事的实际工程应用打下良好基础。</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先修课程：《电磁场》、《</w:t>
            </w:r>
            <w:r>
              <w:rPr>
                <w:rFonts w:hint="eastAsia" w:ascii="Times New Roman" w:hAnsi="Times New Roman" w:eastAsia="仿宋_GB2312"/>
                <w:bCs/>
                <w:color w:val="auto"/>
                <w:sz w:val="18"/>
                <w:szCs w:val="18"/>
                <w:lang w:eastAsia="zh-CN"/>
              </w:rPr>
              <w:t>电机与拖动基础A</w:t>
            </w: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22.农业机器人控制技术</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知识目标：掌握机器人驱动方式、传感器的应用、常用控制方法和机器人建模知识。能力目标：通过本课程的学习，使学生掌握机器人机构设计、运动分析、控制和使用的技术要点和基础理论，使学生对机器人有一个全面、深入的认识。培养学生综合运用所学基础理论和专业知识进行创新设计的能力。素质目标使学生能够利用数学知识，对具体工程应用中的机器人进行建模，并根据需要控制机器人动作。</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单片机原理与应用</w:t>
            </w:r>
            <w:r>
              <w:rPr>
                <w:rFonts w:ascii="Times New Roman" w:hAnsi="Times New Roman" w:eastAsia="仿宋_GB2312"/>
                <w:bCs/>
                <w:color w:val="auto"/>
                <w:sz w:val="18"/>
                <w:szCs w:val="18"/>
              </w:rPr>
              <w:t>》、《西门子PLC原理与应用》；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23.开关电源技术</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随着</w:t>
            </w:r>
            <w:r>
              <w:rPr>
                <w:rFonts w:hint="eastAsia" w:ascii="Times New Roman" w:hAnsi="Times New Roman" w:eastAsia="仿宋_GB2312"/>
                <w:bCs/>
                <w:color w:val="auto"/>
                <w:sz w:val="18"/>
                <w:szCs w:val="18"/>
                <w:lang w:eastAsia="zh-CN"/>
              </w:rPr>
              <w:t>电力电子技术A</w:t>
            </w:r>
            <w:r>
              <w:rPr>
                <w:rFonts w:ascii="Times New Roman" w:hAnsi="Times New Roman" w:eastAsia="仿宋_GB2312"/>
                <w:bCs/>
                <w:color w:val="auto"/>
                <w:sz w:val="18"/>
                <w:szCs w:val="18"/>
              </w:rPr>
              <w:t>的迅速发展，高频开关电源已经广泛应用于计算机、通信、工业加工和航空航天等领域。学习这门课程时，要着重基本概念、基本电路的理解和对基本电路的分析、设计能力的培养，具备一定的计算和调试能力，做到器件、电路、应用三个方面结合。</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电力电子技术A</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24.工程项目管理*</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系统介绍了工程项目从规划、决策、实施到竣工验收全过程的管理理论和方法，主要包括工程项目的前期策划、工程项目的管理组织、工程项目管理体制、工程项目计划、工程项目实施控制、工程项目合同与索赔、工程项目职业健康安全与管理、工程项目风险管理等内容。</w:t>
            </w:r>
          </w:p>
        </w:tc>
        <w:tc>
          <w:tcPr>
            <w:tcW w:w="3101" w:type="dxa"/>
            <w:vAlign w:val="center"/>
          </w:tcPr>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25.信号分析</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系统地介绍信号与系统的基本概念、基本理论和基本分析方法，主要内容包括信号与系统分析的基本概念，连续时间信号与系统的时域、频域和复频域(S域)分析，离散时间信号与系统的时域、频域与复频域(Z域)分析，以及系统状态变量分析等。</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先修课程：《高等数学》、《复变函数》、《</w:t>
            </w:r>
            <w:r>
              <w:rPr>
                <w:rFonts w:hint="eastAsia" w:ascii="Times New Roman" w:hAnsi="Times New Roman" w:eastAsia="仿宋_GB2312"/>
                <w:bCs/>
                <w:color w:val="auto"/>
                <w:sz w:val="18"/>
                <w:szCs w:val="18"/>
                <w:lang w:eastAsia="zh-CN"/>
              </w:rPr>
              <w:t>线性代数A</w:t>
            </w:r>
            <w:r>
              <w:rPr>
                <w:rFonts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26.现场总线技术与工程应用</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通过课堂教学环节以及与后续实验教学环节相结合，本课程使学生掌握现场总线技术基本概念、基本理论、设计方法，培养学生具有一定的现场总线技术和现场总线控制系统的理论分析和设计开发能力。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先修：《西门子PLC原理与应用》；后续：《</w:t>
            </w:r>
            <w:r>
              <w:rPr>
                <w:rFonts w:hint="eastAsia" w:ascii="Times New Roman" w:hAnsi="Times New Roman" w:eastAsia="仿宋_GB2312"/>
                <w:bCs/>
                <w:color w:val="auto"/>
                <w:sz w:val="18"/>
                <w:szCs w:val="18"/>
                <w:lang w:eastAsia="zh-CN"/>
              </w:rPr>
              <w:t>电气控制与PLC（A）</w:t>
            </w:r>
            <w:r>
              <w:rPr>
                <w:rFonts w:ascii="Times New Roman" w:hAnsi="Times New Roman"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27.变频器及其应用</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具备应用变频器设计电力拖动应用系统的能力，能够根据需要选用变频器。能够根据工程需要设计、安装、调试及改造教简单的变频器控制系统；具有将相关课程(电气控制、PLC、单片机、触摸屏等)知识融合在一起，综合应用自动控制系统的能力。具有变频器控制系统日常维护及故障诊断的基本能力，能够诊断出故障类型（软件设置故障、主电路硬件故障、控制电路故障），能对软件类故障进行修复，能对主电路故障进行准确判断并分析故障原因，能对控制电路的故障范围进行诊断；具有根据实际设备搜索、查阅变频器相关技术资料，并利用技术资料学习相应变频器知识和操作、解决现场问题的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电力电子技术A</w:t>
            </w:r>
            <w:r>
              <w:rPr>
                <w:rFonts w:ascii="Times New Roman" w:hAnsi="Times New Roman" w:eastAsia="仿宋_GB2312"/>
                <w:bCs/>
                <w:color w:val="auto"/>
                <w:sz w:val="18"/>
                <w:szCs w:val="18"/>
              </w:rPr>
              <w:t>》、《西门子PLC原理与应用》</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28. 基于图形化编程的DSP嵌入式开发</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通过本课程的学习使学生掌握DSP控制系统的分析、设计与工程实现的基本理论和方法，并具备一定的计算机自动控制系统的设计能力。</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先修课程：《自动控制原理》;</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实习实践课程</w:t>
            </w:r>
          </w:p>
        </w:tc>
        <w:tc>
          <w:tcPr>
            <w:tcW w:w="671"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必修</w:t>
            </w: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1.劳动实践</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课程以维护校园环境、增强学生环保意识为主。通过演示、示范、讲解劳动岗位内容、劳动安全保护及考核标准使学生牢固树立安全第一的观念掌握必要的安全知识，理解劳动内容和相应考核要求。提高学生劳动技能和文明行为的养成，增强学生的团结协作、自我管理和自我服务意识，保持吃苦耐劳、艰苦奋斗的优良传统。</w:t>
            </w:r>
          </w:p>
        </w:tc>
        <w:tc>
          <w:tcPr>
            <w:tcW w:w="3101" w:type="dxa"/>
            <w:vAlign w:val="center"/>
          </w:tcPr>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3.大学生体质健康测试</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测试人员采用规范的技术、方式和方法，组织学生参加《国家学生体质健康标准》所确定的测试项目及有关内容的实际测评，重点监测学生的身体形态、身体机能、身体素质和运动能力等方面情况及其变化趋势，是促进学生体质健康发展、激励学生参加身体锻炼的教育、评价和反馈手段。</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《国家学生体质健康标准登记卡》规范记录每一名学生的体质健康测试成绩及其评定等级，列入学生档案，作为学生评优评先、毕业考核的重要依据。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4.入学教育、军训（含军事理论教育实践）</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课程以国防教育为主线，通过军事课教学，使大学生掌握基本军事理论与军事技能，达到增强国防观念和国家安全意识，强化爱国主义、集体主义观念，加强组织纪律性，促进大学生综合素质的提高，为中国人民解放军训练后备兵员和培养预备役军官打下坚实基础的目的。</w:t>
            </w:r>
          </w:p>
        </w:tc>
        <w:tc>
          <w:tcPr>
            <w:tcW w:w="3101" w:type="dxa"/>
            <w:vAlign w:val="center"/>
          </w:tcPr>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6.毕业教育</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引导毕业生端正就业态度，准确把握就业形势，全面了解就业前景，正确处理职业与事业的关系。通过组织招聘会等形式，为毕业生与用人单位搭建良好的交流平台，组织考研动员会、就业指导会等活动，大力宣传当前国家促进大学生就业、大学生征兵服务的政策，鼓励支持毕业生到基层、到西部、到部队、到祖国最需要的地方去建功立业。</w:t>
            </w:r>
          </w:p>
        </w:tc>
        <w:tc>
          <w:tcPr>
            <w:tcW w:w="3101" w:type="dxa"/>
            <w:vAlign w:val="center"/>
          </w:tcPr>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7.制造工程训练</w:t>
            </w:r>
            <w:r>
              <w:rPr>
                <w:rFonts w:hint="eastAsia" w:ascii="宋体" w:hAnsi="宋体" w:cs="宋体"/>
                <w:bCs/>
                <w:color w:val="auto"/>
                <w:sz w:val="18"/>
                <w:szCs w:val="18"/>
              </w:rPr>
              <w:t>Ⅱ</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实践学习，使学生较全面了解机械零件的加工生产过程、基础工程知识和常用工程术语，了解机械加工过程中所使用主要设备的基本结构特点、工作原理、适用范围和操作方法，熟悉各种加工方法、工艺技术、图纸文件和安全技术，并正确使用各类工具、夹具和量具，能够独立操作相关设备，完成简单零件的加工制造。</w:t>
            </w:r>
          </w:p>
        </w:tc>
        <w:tc>
          <w:tcPr>
            <w:tcW w:w="3101" w:type="dxa"/>
            <w:vAlign w:val="center"/>
          </w:tcPr>
          <w:p>
            <w:pPr>
              <w:spacing w:line="240" w:lineRule="exact"/>
              <w:jc w:val="lef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8.电机绕组绕制实习</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掌握电机绕组的绝缘结构和绕组结构，掌握电机定子制造的过程和方法，加深理解电机绕组的工作原理，理解相关电气参数之间的物理关系和电磁原理。通过课程的教学培养学生实践能手能力，严谨认真的科学精神，互相配合的合作精神。本课程1学分，教学实习1周。考核方式论文+实物演示答辩。</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电机与拖动基础A</w:t>
            </w:r>
            <w:r>
              <w:rPr>
                <w:rFonts w:ascii="Times New Roman" w:hAnsi="Times New Roman" w:eastAsia="仿宋_GB2312"/>
                <w:bCs/>
                <w:color w:val="auto"/>
                <w:sz w:val="18"/>
                <w:szCs w:val="18"/>
              </w:rPr>
              <w:t>》；后续课程：《专业综合实习》、《专业毕业实习》、《毕业论文（设计）》。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9.电子技术课程设计</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要求学生综合应用电路分析、电子技术等课程的知识设计并制作一个较为简易的电子产品。目标是使学生在电子技术的基本知识、基本方法和基本技能方面受到较系统的训练，加深学生对电子技术基础理论的理解，提高学生在电子技术方面的实践技能。</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单片机原理与应用</w:t>
            </w:r>
            <w:r>
              <w:rPr>
                <w:rFonts w:ascii="Times New Roman" w:hAnsi="Times New Roman" w:eastAsia="仿宋_GB2312"/>
                <w:bCs/>
                <w:color w:val="auto"/>
                <w:sz w:val="18"/>
                <w:szCs w:val="18"/>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10.</w:t>
            </w:r>
            <w:r>
              <w:rPr>
                <w:rFonts w:hint="eastAsia" w:ascii="Times New Roman" w:hAnsi="Times New Roman" w:eastAsia="仿宋_GB2312"/>
                <w:bCs/>
                <w:color w:val="auto"/>
                <w:sz w:val="18"/>
                <w:szCs w:val="18"/>
                <w:lang w:eastAsia="zh-CN"/>
              </w:rPr>
              <w:t>电子工艺实习A</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实习，让学生掌握电子元件测量、焊接、电子产品调试三大基本功。熟悉电子装接工艺的基本知识和要求，掌握电子产品的手工焊接、装配、调试技术。了解表面贴装技术，掌握印刷电路的焊接技术和表贴设备的操作流程与方法。</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模拟电子技术C</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数字电子技术B</w:t>
            </w: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11.单片机应用课程设计</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单片机在智能仪器仪表(数字电压表、数字示波器、医学分析仪器)、家用电器等（洗衣机、空调等）、军事装置（夜视仪、导航仪）、实时工业控制(电镀生产线、工业机器人)等诸多领域应用广泛。各种机械设备及装置一旦采用单片机控制，产品的附加值迅速上升。本课程能够进行系统搭建和软硬件调试，分析和解决问题；掌握单片机开发设计流程。考核方式论文+实物演示答辩。</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单片机原理与应用</w:t>
            </w:r>
            <w:r>
              <w:rPr>
                <w:rFonts w:ascii="Times New Roman" w:hAnsi="Times New Roman" w:eastAsia="仿宋_GB2312"/>
                <w:bCs/>
                <w:color w:val="auto"/>
                <w:sz w:val="18"/>
                <w:szCs w:val="18"/>
              </w:rPr>
              <w:t>》。</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12.可编程控制器应用课程设计</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通过本课程的学习，使学生熟悉低压电器的原理及应用；熟悉FX系列PLC的结构、原理及指令的应用方法；能够针对实际工程问题，提出解决方案，完成具体设计；能够进行系统搭建和软硬件调试，分析和解决问题；掌握PLC控制设计流程。</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电气控制与PLC（A）</w:t>
            </w:r>
            <w:r>
              <w:rPr>
                <w:rFonts w:ascii="Times New Roman" w:hAnsi="Times New Roman" w:eastAsia="仿宋_GB2312"/>
                <w:bCs/>
                <w:color w:val="auto"/>
                <w:sz w:val="18"/>
                <w:szCs w:val="18"/>
              </w:rPr>
              <w:t>》。后续课程：《专业综合实习》。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13.农业电气化专业综合实习</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本课程是一门综合实践课程。通过该实训，使学生掌握模块式PLC的硬件结构和配置方法、单片机编程软件的使用方法和编程方法及其自动化设备在自动化装置中的综合应用；使学生熟悉现代电气自动化系统的各种控制方式，可以对简单的工程任务进行整体设计。</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先修课程：农业电气化专业基础课、专业课；</w:t>
            </w:r>
          </w:p>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后续课程：《专业毕业设计》。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99"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71" w:type="dxa"/>
            <w:vMerge w:val="continue"/>
            <w:vAlign w:val="center"/>
          </w:tcPr>
          <w:p>
            <w:pPr>
              <w:adjustRightInd w:val="0"/>
              <w:snapToGrid w:val="0"/>
              <w:spacing w:line="240" w:lineRule="exact"/>
              <w:rPr>
                <w:rFonts w:ascii="Times New Roman" w:hAnsi="Times New Roman" w:eastAsia="仿宋_GB2312"/>
                <w:b/>
                <w:bCs/>
                <w:color w:val="auto"/>
                <w:sz w:val="18"/>
                <w:szCs w:val="18"/>
              </w:rPr>
            </w:pPr>
          </w:p>
        </w:tc>
        <w:tc>
          <w:tcPr>
            <w:tcW w:w="2356"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15.农业电气化专业毕业实习、毕业论文（设计）</w:t>
            </w:r>
          </w:p>
        </w:tc>
        <w:tc>
          <w:tcPr>
            <w:tcW w:w="7605"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此环节培养学生综合运用所学知识独立地分析问题和解决问题的能力，是对学生本科四年所学知识的全面应用锻炼。大学毕业前的必经环节，必须提交相应的学位论文，经答辩通过后，才可取得学位。</w:t>
            </w:r>
          </w:p>
        </w:tc>
        <w:tc>
          <w:tcPr>
            <w:tcW w:w="310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参考资料：《青岛农业大学毕业论文（设计）工作规定》（青农大校字〔2009〕20号）的文件及相关毕业设计要求。</w:t>
            </w:r>
          </w:p>
        </w:tc>
      </w:tr>
    </w:tbl>
    <w:p>
      <w:pPr>
        <w:widowControl/>
        <w:spacing w:line="360" w:lineRule="auto"/>
        <w:ind w:firstLine="210" w:firstLineChars="100"/>
        <w:rPr>
          <w:rFonts w:ascii="Times New Roman" w:hAnsi="Times New Roman" w:eastAsia="仿宋_GB2312"/>
          <w:color w:val="auto"/>
          <w:kern w:val="0"/>
        </w:rPr>
        <w:sectPr>
          <w:pgSz w:w="16838" w:h="11906" w:orient="landscape"/>
          <w:pgMar w:top="1531" w:right="1134" w:bottom="1134" w:left="1588" w:header="851" w:footer="992" w:gutter="0"/>
          <w:cols w:space="0" w:num="1"/>
          <w:docGrid w:type="linesAndChars" w:linePitch="312" w:charSpace="0"/>
        </w:sectPr>
      </w:pPr>
    </w:p>
    <w:p>
      <w:pPr>
        <w:widowControl/>
        <w:spacing w:line="360" w:lineRule="auto"/>
        <w:ind w:firstLine="210" w:firstLineChars="100"/>
        <w:rPr>
          <w:rFonts w:ascii="Times New Roman" w:hAnsi="Times New Roman" w:eastAsia="仿宋_GB2312"/>
          <w:color w:val="auto"/>
          <w:kern w:val="0"/>
        </w:rPr>
      </w:pPr>
    </w:p>
    <w:p>
      <w:pPr>
        <w:widowControl/>
        <w:spacing w:line="360" w:lineRule="auto"/>
        <w:ind w:firstLine="281" w:firstLineChars="100"/>
        <w:rPr>
          <w:rFonts w:ascii="Times New Roman" w:hAnsi="Times New Roman" w:eastAsia="仿宋_GB2312"/>
          <w:b/>
          <w:bCs/>
          <w:color w:val="auto"/>
          <w:kern w:val="0"/>
          <w:sz w:val="28"/>
          <w:szCs w:val="28"/>
        </w:rPr>
      </w:pPr>
      <w:r>
        <w:rPr>
          <w:rFonts w:ascii="Times New Roman" w:hAnsi="Times New Roman" w:eastAsia="仿宋_GB2312"/>
          <w:b/>
          <w:bCs/>
          <w:color w:val="auto"/>
          <w:kern w:val="0"/>
          <w:sz w:val="28"/>
          <w:szCs w:val="28"/>
        </w:rPr>
        <w:t>撰写人签字：白皓然</w:t>
      </w:r>
    </w:p>
    <w:p>
      <w:pPr>
        <w:widowControl/>
        <w:spacing w:line="360" w:lineRule="auto"/>
        <w:ind w:firstLine="281" w:firstLineChars="100"/>
        <w:rPr>
          <w:rFonts w:ascii="Times New Roman" w:hAnsi="Times New Roman" w:eastAsia="仿宋_GB2312"/>
          <w:b/>
          <w:bCs/>
          <w:color w:val="auto"/>
          <w:kern w:val="0"/>
          <w:sz w:val="28"/>
          <w:szCs w:val="28"/>
        </w:rPr>
      </w:pPr>
    </w:p>
    <w:p>
      <w:pPr>
        <w:widowControl/>
        <w:spacing w:line="360" w:lineRule="auto"/>
        <w:ind w:firstLine="281" w:firstLineChars="100"/>
        <w:rPr>
          <w:rFonts w:ascii="Times New Roman" w:hAnsi="Times New Roman" w:eastAsia="仿宋_GB2312"/>
          <w:b/>
          <w:bCs/>
          <w:color w:val="auto"/>
          <w:kern w:val="0"/>
          <w:sz w:val="28"/>
          <w:szCs w:val="28"/>
        </w:rPr>
      </w:pPr>
      <w:r>
        <w:rPr>
          <w:rFonts w:ascii="Times New Roman" w:hAnsi="Times New Roman" w:eastAsia="仿宋_GB2312"/>
          <w:b/>
          <w:bCs/>
          <w:color w:val="auto"/>
          <w:kern w:val="0"/>
          <w:sz w:val="28"/>
          <w:szCs w:val="28"/>
        </w:rPr>
        <w:t>教学院长签字：</w:t>
      </w:r>
    </w:p>
    <w:p>
      <w:pPr>
        <w:widowControl/>
        <w:spacing w:line="360" w:lineRule="auto"/>
        <w:ind w:firstLine="281" w:firstLineChars="100"/>
        <w:rPr>
          <w:rFonts w:ascii="Times New Roman" w:hAnsi="Times New Roman" w:eastAsia="仿宋_GB2312"/>
          <w:b/>
          <w:bCs/>
          <w:color w:val="auto"/>
          <w:kern w:val="0"/>
          <w:sz w:val="28"/>
          <w:szCs w:val="28"/>
        </w:rPr>
      </w:pPr>
    </w:p>
    <w:p>
      <w:pPr>
        <w:widowControl/>
        <w:spacing w:line="360" w:lineRule="auto"/>
        <w:ind w:firstLine="281" w:firstLineChars="100"/>
        <w:rPr>
          <w:rFonts w:ascii="Times New Roman" w:hAnsi="Times New Roman" w:eastAsia="仿宋_GB2312"/>
          <w:b/>
          <w:bCs/>
          <w:color w:val="auto"/>
          <w:kern w:val="0"/>
          <w:sz w:val="28"/>
          <w:szCs w:val="28"/>
        </w:rPr>
      </w:pPr>
      <w:r>
        <w:rPr>
          <w:rFonts w:ascii="Times New Roman" w:hAnsi="Times New Roman" w:eastAsia="仿宋_GB2312"/>
          <w:b/>
          <w:bCs/>
          <w:color w:val="auto"/>
          <w:kern w:val="0"/>
          <w:sz w:val="28"/>
          <w:szCs w:val="28"/>
        </w:rPr>
        <w:t>教授委员会主任委员签字：</w:t>
      </w:r>
    </w:p>
    <w:p>
      <w:pPr>
        <w:widowControl/>
        <w:spacing w:line="360" w:lineRule="auto"/>
        <w:ind w:firstLine="281" w:firstLineChars="100"/>
        <w:rPr>
          <w:rFonts w:ascii="Times New Roman" w:hAnsi="Times New Roman" w:eastAsia="仿宋_GB2312"/>
          <w:b/>
          <w:bCs/>
          <w:color w:val="auto"/>
          <w:kern w:val="0"/>
          <w:sz w:val="28"/>
          <w:szCs w:val="28"/>
        </w:rPr>
      </w:pPr>
    </w:p>
    <w:p>
      <w:pPr>
        <w:widowControl/>
        <w:spacing w:line="360" w:lineRule="auto"/>
        <w:ind w:firstLine="281" w:firstLineChars="100"/>
        <w:rPr>
          <w:rFonts w:ascii="Times New Roman" w:hAnsi="Times New Roman" w:eastAsia="仿宋_GB2312"/>
          <w:b/>
          <w:bCs/>
          <w:color w:val="auto"/>
          <w:kern w:val="0"/>
          <w:sz w:val="28"/>
          <w:szCs w:val="28"/>
        </w:rPr>
      </w:pPr>
      <w:r>
        <w:rPr>
          <w:rFonts w:ascii="Times New Roman" w:hAnsi="Times New Roman" w:eastAsia="仿宋_GB2312"/>
          <w:b/>
          <w:bCs/>
          <w:color w:val="auto"/>
          <w:kern w:val="0"/>
          <w:sz w:val="28"/>
          <w:szCs w:val="28"/>
        </w:rPr>
        <w:t>院长签字</w:t>
      </w:r>
    </w:p>
    <w:p>
      <w:pPr>
        <w:rPr>
          <w:rFonts w:ascii="Times New Roman" w:hAnsi="Times New Roman"/>
          <w:color w:val="auto"/>
        </w:rPr>
      </w:pPr>
    </w:p>
    <w:bookmarkEnd w:id="0"/>
    <w:sectPr>
      <w:pgSz w:w="11906" w:h="16838"/>
      <w:pgMar w:top="1531" w:right="1134" w:bottom="1021" w:left="1588"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3073" o:spid="_x0000_s3073" o:spt="202" type="#_x0000_t202" style="position:absolute;left:0pt;margin-top:0pt;height:144pt;width:144pt;mso-position-horizontal:outside;mso-position-horizontal-relative:margin;mso-wrap-style:none;z-index:251657216;mso-width-relative:page;mso-height-relative:page;" filled="f" stroked="f" coordsize="21600,21600">
          <v:path/>
          <v:fill on="f" focussize="0,0"/>
          <v:stroke on="f" weight="0.5pt" joinstyle="miter"/>
          <v:imagedata o:title=""/>
          <o:lock v:ext="edit"/>
          <v:textbox inset="0mm,0mm,0mm,0mm" style="mso-fit-shape-to-text:t;">
            <w:txbxContent>
              <w:p>
                <w:pPr>
                  <w:pStyle w:val="11"/>
                </w:pPr>
                <w:r>
                  <w:fldChar w:fldCharType="begin"/>
                </w:r>
                <w:r>
                  <w:instrText xml:space="preserve"> PAGE  \* MERGEFORMAT </w:instrText>
                </w:r>
                <w:r>
                  <w:fldChar w:fldCharType="separate"/>
                </w:r>
                <w:r>
                  <w:t>7</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pict>
        <v:shape id="_x0000_s3074" o:spid="_x0000_s3074"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11"/>
                </w:pPr>
                <w:r>
                  <w:fldChar w:fldCharType="begin"/>
                </w:r>
                <w:r>
                  <w:instrText xml:space="preserve"> PAGE  \* MERGEFORMAT </w:instrText>
                </w:r>
                <w:r>
                  <w:fldChar w:fldCharType="separate"/>
                </w:r>
                <w:r>
                  <w:t>8</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F024A1"/>
    <w:multiLevelType w:val="singleLevel"/>
    <w:tmpl w:val="93F024A1"/>
    <w:lvl w:ilvl="0" w:tentative="0">
      <w:start w:val="7"/>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NotTrackMoves/>
  <w:documentProtection w:enforcement="0"/>
  <w:defaultTabStop w:val="420"/>
  <w:evenAndOddHeaders w:val="1"/>
  <w:drawingGridHorizontalSpacing w:val="21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53F2E"/>
    <w:rsid w:val="000041B5"/>
    <w:rsid w:val="00035218"/>
    <w:rsid w:val="0003528A"/>
    <w:rsid w:val="00037355"/>
    <w:rsid w:val="00085B09"/>
    <w:rsid w:val="000B0252"/>
    <w:rsid w:val="000B13B1"/>
    <w:rsid w:val="001012DF"/>
    <w:rsid w:val="0012377E"/>
    <w:rsid w:val="00125B64"/>
    <w:rsid w:val="001275E8"/>
    <w:rsid w:val="0013384B"/>
    <w:rsid w:val="00144021"/>
    <w:rsid w:val="001524A8"/>
    <w:rsid w:val="0015418D"/>
    <w:rsid w:val="00154B5A"/>
    <w:rsid w:val="00176E88"/>
    <w:rsid w:val="001A345D"/>
    <w:rsid w:val="001B1856"/>
    <w:rsid w:val="001C3436"/>
    <w:rsid w:val="002036A0"/>
    <w:rsid w:val="00204A94"/>
    <w:rsid w:val="0021460C"/>
    <w:rsid w:val="00254079"/>
    <w:rsid w:val="0027170D"/>
    <w:rsid w:val="002877AE"/>
    <w:rsid w:val="002B258A"/>
    <w:rsid w:val="002C2DD2"/>
    <w:rsid w:val="002C6841"/>
    <w:rsid w:val="002F1D90"/>
    <w:rsid w:val="002F6E70"/>
    <w:rsid w:val="002F76F3"/>
    <w:rsid w:val="00313335"/>
    <w:rsid w:val="00322003"/>
    <w:rsid w:val="0033664D"/>
    <w:rsid w:val="003509F3"/>
    <w:rsid w:val="0037161E"/>
    <w:rsid w:val="00373B15"/>
    <w:rsid w:val="003960B4"/>
    <w:rsid w:val="003A6EE7"/>
    <w:rsid w:val="003C0139"/>
    <w:rsid w:val="003D6F04"/>
    <w:rsid w:val="0040314E"/>
    <w:rsid w:val="004126A9"/>
    <w:rsid w:val="00420DA4"/>
    <w:rsid w:val="00421E33"/>
    <w:rsid w:val="00424ADA"/>
    <w:rsid w:val="00427C07"/>
    <w:rsid w:val="00440029"/>
    <w:rsid w:val="0045278C"/>
    <w:rsid w:val="00490C3D"/>
    <w:rsid w:val="00492D78"/>
    <w:rsid w:val="004A3F38"/>
    <w:rsid w:val="004E004C"/>
    <w:rsid w:val="004E35D1"/>
    <w:rsid w:val="004E5C1E"/>
    <w:rsid w:val="00504BC2"/>
    <w:rsid w:val="00512B04"/>
    <w:rsid w:val="00517144"/>
    <w:rsid w:val="0053701A"/>
    <w:rsid w:val="00541D6E"/>
    <w:rsid w:val="0054245A"/>
    <w:rsid w:val="00545D6B"/>
    <w:rsid w:val="005641A1"/>
    <w:rsid w:val="00571837"/>
    <w:rsid w:val="00590548"/>
    <w:rsid w:val="0059103C"/>
    <w:rsid w:val="005B3188"/>
    <w:rsid w:val="005C07B8"/>
    <w:rsid w:val="005C49DD"/>
    <w:rsid w:val="005D4EED"/>
    <w:rsid w:val="005D627C"/>
    <w:rsid w:val="0061083D"/>
    <w:rsid w:val="00633371"/>
    <w:rsid w:val="00635543"/>
    <w:rsid w:val="006416BF"/>
    <w:rsid w:val="00645FA3"/>
    <w:rsid w:val="00646204"/>
    <w:rsid w:val="00660392"/>
    <w:rsid w:val="00670499"/>
    <w:rsid w:val="006733EA"/>
    <w:rsid w:val="00675154"/>
    <w:rsid w:val="00687B23"/>
    <w:rsid w:val="00687CC8"/>
    <w:rsid w:val="006964F0"/>
    <w:rsid w:val="006A7D20"/>
    <w:rsid w:val="0073638D"/>
    <w:rsid w:val="00737CF3"/>
    <w:rsid w:val="0075275B"/>
    <w:rsid w:val="00754219"/>
    <w:rsid w:val="00756D82"/>
    <w:rsid w:val="00764E03"/>
    <w:rsid w:val="00764F46"/>
    <w:rsid w:val="007727FF"/>
    <w:rsid w:val="00792885"/>
    <w:rsid w:val="007A4012"/>
    <w:rsid w:val="007B4CFB"/>
    <w:rsid w:val="007E122B"/>
    <w:rsid w:val="007E1FA5"/>
    <w:rsid w:val="00814420"/>
    <w:rsid w:val="00823918"/>
    <w:rsid w:val="0084710E"/>
    <w:rsid w:val="0085261A"/>
    <w:rsid w:val="008528FC"/>
    <w:rsid w:val="00870FB2"/>
    <w:rsid w:val="008963AD"/>
    <w:rsid w:val="008B27F9"/>
    <w:rsid w:val="008D2884"/>
    <w:rsid w:val="008D3DB8"/>
    <w:rsid w:val="008E5DEA"/>
    <w:rsid w:val="008F12BB"/>
    <w:rsid w:val="008F15F4"/>
    <w:rsid w:val="008F727A"/>
    <w:rsid w:val="0092534B"/>
    <w:rsid w:val="009354EE"/>
    <w:rsid w:val="0095604D"/>
    <w:rsid w:val="009637CB"/>
    <w:rsid w:val="00964D57"/>
    <w:rsid w:val="009661CC"/>
    <w:rsid w:val="0096640F"/>
    <w:rsid w:val="0098175E"/>
    <w:rsid w:val="00981DFF"/>
    <w:rsid w:val="009918D0"/>
    <w:rsid w:val="00997CAD"/>
    <w:rsid w:val="009A2703"/>
    <w:rsid w:val="009B3818"/>
    <w:rsid w:val="009C406F"/>
    <w:rsid w:val="009D60B8"/>
    <w:rsid w:val="009F46EF"/>
    <w:rsid w:val="00A03168"/>
    <w:rsid w:val="00A03342"/>
    <w:rsid w:val="00A104BC"/>
    <w:rsid w:val="00A14E36"/>
    <w:rsid w:val="00A1686F"/>
    <w:rsid w:val="00A31773"/>
    <w:rsid w:val="00A31DAE"/>
    <w:rsid w:val="00A32D6F"/>
    <w:rsid w:val="00A34DC9"/>
    <w:rsid w:val="00A363A4"/>
    <w:rsid w:val="00A60595"/>
    <w:rsid w:val="00AA1F35"/>
    <w:rsid w:val="00AB14EF"/>
    <w:rsid w:val="00AB396B"/>
    <w:rsid w:val="00AC769E"/>
    <w:rsid w:val="00AE4D35"/>
    <w:rsid w:val="00AF7DED"/>
    <w:rsid w:val="00B00DE1"/>
    <w:rsid w:val="00B05E97"/>
    <w:rsid w:val="00B1704B"/>
    <w:rsid w:val="00B35E97"/>
    <w:rsid w:val="00B41463"/>
    <w:rsid w:val="00B6121D"/>
    <w:rsid w:val="00B73AFE"/>
    <w:rsid w:val="00B94BCE"/>
    <w:rsid w:val="00BA7114"/>
    <w:rsid w:val="00BD1351"/>
    <w:rsid w:val="00BF2531"/>
    <w:rsid w:val="00BF3AFD"/>
    <w:rsid w:val="00C104A1"/>
    <w:rsid w:val="00C15EFB"/>
    <w:rsid w:val="00C31D13"/>
    <w:rsid w:val="00C74D69"/>
    <w:rsid w:val="00C829BA"/>
    <w:rsid w:val="00C93EA0"/>
    <w:rsid w:val="00CA2863"/>
    <w:rsid w:val="00CA560D"/>
    <w:rsid w:val="00CA765E"/>
    <w:rsid w:val="00CC0CAE"/>
    <w:rsid w:val="00CD49FD"/>
    <w:rsid w:val="00CE30C9"/>
    <w:rsid w:val="00CF0688"/>
    <w:rsid w:val="00D0569C"/>
    <w:rsid w:val="00D05EAC"/>
    <w:rsid w:val="00D200CD"/>
    <w:rsid w:val="00D235FF"/>
    <w:rsid w:val="00D32709"/>
    <w:rsid w:val="00D654A6"/>
    <w:rsid w:val="00D67B7B"/>
    <w:rsid w:val="00D72EB4"/>
    <w:rsid w:val="00D81AED"/>
    <w:rsid w:val="00D8650B"/>
    <w:rsid w:val="00DA29D0"/>
    <w:rsid w:val="00DB2462"/>
    <w:rsid w:val="00DD3B38"/>
    <w:rsid w:val="00DD3C73"/>
    <w:rsid w:val="00DE30BD"/>
    <w:rsid w:val="00E139D2"/>
    <w:rsid w:val="00E219CF"/>
    <w:rsid w:val="00E25C40"/>
    <w:rsid w:val="00E262F1"/>
    <w:rsid w:val="00E72401"/>
    <w:rsid w:val="00E77027"/>
    <w:rsid w:val="00E91B4F"/>
    <w:rsid w:val="00E92DC9"/>
    <w:rsid w:val="00EA15C7"/>
    <w:rsid w:val="00EB202F"/>
    <w:rsid w:val="00EB5F0C"/>
    <w:rsid w:val="00EC15B2"/>
    <w:rsid w:val="00EC1D20"/>
    <w:rsid w:val="00EC482A"/>
    <w:rsid w:val="00EC6205"/>
    <w:rsid w:val="00ED00C4"/>
    <w:rsid w:val="00ED16AC"/>
    <w:rsid w:val="00EE4312"/>
    <w:rsid w:val="00EF1F6A"/>
    <w:rsid w:val="00F02A56"/>
    <w:rsid w:val="00F21204"/>
    <w:rsid w:val="00F32AD0"/>
    <w:rsid w:val="00F42018"/>
    <w:rsid w:val="00F50223"/>
    <w:rsid w:val="00F53F2E"/>
    <w:rsid w:val="00F5403E"/>
    <w:rsid w:val="00F70355"/>
    <w:rsid w:val="00F776F5"/>
    <w:rsid w:val="00F90B1C"/>
    <w:rsid w:val="00FA1355"/>
    <w:rsid w:val="00FB52E2"/>
    <w:rsid w:val="00FB5AEC"/>
    <w:rsid w:val="00FC41DD"/>
    <w:rsid w:val="00FD3589"/>
    <w:rsid w:val="00FF17A1"/>
    <w:rsid w:val="00FF18DD"/>
    <w:rsid w:val="0131654D"/>
    <w:rsid w:val="01651E8D"/>
    <w:rsid w:val="01B9161F"/>
    <w:rsid w:val="01DB4BD3"/>
    <w:rsid w:val="02131CB3"/>
    <w:rsid w:val="024F567B"/>
    <w:rsid w:val="025B6774"/>
    <w:rsid w:val="028571FE"/>
    <w:rsid w:val="02AD1F63"/>
    <w:rsid w:val="02E95DDF"/>
    <w:rsid w:val="0306463D"/>
    <w:rsid w:val="031F4C8A"/>
    <w:rsid w:val="03504EE6"/>
    <w:rsid w:val="03A747F4"/>
    <w:rsid w:val="03B03217"/>
    <w:rsid w:val="03F142F1"/>
    <w:rsid w:val="041024DF"/>
    <w:rsid w:val="041B1191"/>
    <w:rsid w:val="042331E9"/>
    <w:rsid w:val="04437A63"/>
    <w:rsid w:val="04B03566"/>
    <w:rsid w:val="04FF6E47"/>
    <w:rsid w:val="0507125B"/>
    <w:rsid w:val="0529789A"/>
    <w:rsid w:val="055E2CC9"/>
    <w:rsid w:val="05C67347"/>
    <w:rsid w:val="06014F0E"/>
    <w:rsid w:val="063124D3"/>
    <w:rsid w:val="06554C6E"/>
    <w:rsid w:val="06CC03DE"/>
    <w:rsid w:val="06D23465"/>
    <w:rsid w:val="06D83837"/>
    <w:rsid w:val="06FC6225"/>
    <w:rsid w:val="06FD7741"/>
    <w:rsid w:val="077507E3"/>
    <w:rsid w:val="07873E9D"/>
    <w:rsid w:val="07ED3604"/>
    <w:rsid w:val="07F25BCD"/>
    <w:rsid w:val="07FD35D7"/>
    <w:rsid w:val="07FE4D75"/>
    <w:rsid w:val="080A0289"/>
    <w:rsid w:val="080C292D"/>
    <w:rsid w:val="081F07D8"/>
    <w:rsid w:val="084A6F1F"/>
    <w:rsid w:val="08C0693E"/>
    <w:rsid w:val="092A56FA"/>
    <w:rsid w:val="097E1A32"/>
    <w:rsid w:val="09922E18"/>
    <w:rsid w:val="09970A47"/>
    <w:rsid w:val="09B75CE6"/>
    <w:rsid w:val="09D52B94"/>
    <w:rsid w:val="09DF7707"/>
    <w:rsid w:val="0A914F86"/>
    <w:rsid w:val="0AA073B3"/>
    <w:rsid w:val="0ADB0EF7"/>
    <w:rsid w:val="0ADC48F8"/>
    <w:rsid w:val="0B2D0C8A"/>
    <w:rsid w:val="0B805054"/>
    <w:rsid w:val="0BCA03E9"/>
    <w:rsid w:val="0BD818DB"/>
    <w:rsid w:val="0C0A2F7D"/>
    <w:rsid w:val="0C720038"/>
    <w:rsid w:val="0D057009"/>
    <w:rsid w:val="0D0F5EDE"/>
    <w:rsid w:val="0D9206A1"/>
    <w:rsid w:val="0DA04DDC"/>
    <w:rsid w:val="0DCF6E35"/>
    <w:rsid w:val="0E555801"/>
    <w:rsid w:val="0E9E5D40"/>
    <w:rsid w:val="0ED83397"/>
    <w:rsid w:val="0F023632"/>
    <w:rsid w:val="0F220D24"/>
    <w:rsid w:val="0F2F7AC3"/>
    <w:rsid w:val="0F300AD3"/>
    <w:rsid w:val="0F684870"/>
    <w:rsid w:val="0F766E40"/>
    <w:rsid w:val="0FB1077A"/>
    <w:rsid w:val="0FB15742"/>
    <w:rsid w:val="0FD95698"/>
    <w:rsid w:val="0FEE7169"/>
    <w:rsid w:val="10073F33"/>
    <w:rsid w:val="1011654E"/>
    <w:rsid w:val="104955BD"/>
    <w:rsid w:val="10537789"/>
    <w:rsid w:val="10630493"/>
    <w:rsid w:val="10BA4CA4"/>
    <w:rsid w:val="11073DCE"/>
    <w:rsid w:val="110E5B67"/>
    <w:rsid w:val="11296670"/>
    <w:rsid w:val="113835B8"/>
    <w:rsid w:val="113A0CF2"/>
    <w:rsid w:val="113E7FCF"/>
    <w:rsid w:val="118A5532"/>
    <w:rsid w:val="119F2C82"/>
    <w:rsid w:val="11A33011"/>
    <w:rsid w:val="11CA0DE7"/>
    <w:rsid w:val="11CC118E"/>
    <w:rsid w:val="11EB2BF2"/>
    <w:rsid w:val="11F0044D"/>
    <w:rsid w:val="120C34C2"/>
    <w:rsid w:val="121F315A"/>
    <w:rsid w:val="122166B1"/>
    <w:rsid w:val="126B60E7"/>
    <w:rsid w:val="12AA2FAC"/>
    <w:rsid w:val="12B03C44"/>
    <w:rsid w:val="12FE0F2C"/>
    <w:rsid w:val="13126E81"/>
    <w:rsid w:val="134B09FF"/>
    <w:rsid w:val="13A03167"/>
    <w:rsid w:val="13C83AEE"/>
    <w:rsid w:val="140F64BB"/>
    <w:rsid w:val="146069C3"/>
    <w:rsid w:val="151E2B1B"/>
    <w:rsid w:val="154C0B5D"/>
    <w:rsid w:val="1569346E"/>
    <w:rsid w:val="15722519"/>
    <w:rsid w:val="157C560C"/>
    <w:rsid w:val="15A863AC"/>
    <w:rsid w:val="15C91590"/>
    <w:rsid w:val="16204EFA"/>
    <w:rsid w:val="163B3593"/>
    <w:rsid w:val="164175F7"/>
    <w:rsid w:val="164A539E"/>
    <w:rsid w:val="165E6829"/>
    <w:rsid w:val="16917DE4"/>
    <w:rsid w:val="16D67DCE"/>
    <w:rsid w:val="170C3F2C"/>
    <w:rsid w:val="1725078D"/>
    <w:rsid w:val="176A2C20"/>
    <w:rsid w:val="17774E50"/>
    <w:rsid w:val="178D321A"/>
    <w:rsid w:val="17C31024"/>
    <w:rsid w:val="17D10A2C"/>
    <w:rsid w:val="17EF56B0"/>
    <w:rsid w:val="188E13C9"/>
    <w:rsid w:val="189C0653"/>
    <w:rsid w:val="189C1F02"/>
    <w:rsid w:val="190E22B8"/>
    <w:rsid w:val="193D09CF"/>
    <w:rsid w:val="1956350E"/>
    <w:rsid w:val="19640FD5"/>
    <w:rsid w:val="197F58D5"/>
    <w:rsid w:val="19841A6A"/>
    <w:rsid w:val="19BD2EAB"/>
    <w:rsid w:val="19D41156"/>
    <w:rsid w:val="19F8625B"/>
    <w:rsid w:val="1A2E3797"/>
    <w:rsid w:val="1ABD27D8"/>
    <w:rsid w:val="1ABF3464"/>
    <w:rsid w:val="1AED03F5"/>
    <w:rsid w:val="1AEF523D"/>
    <w:rsid w:val="1B0B66F5"/>
    <w:rsid w:val="1B4348CD"/>
    <w:rsid w:val="1B536A2B"/>
    <w:rsid w:val="1B933EBD"/>
    <w:rsid w:val="1BD65698"/>
    <w:rsid w:val="1C2277B2"/>
    <w:rsid w:val="1C426BE7"/>
    <w:rsid w:val="1C4F1DF0"/>
    <w:rsid w:val="1C624FC0"/>
    <w:rsid w:val="1C65339B"/>
    <w:rsid w:val="1C6B1FDA"/>
    <w:rsid w:val="1C7378A1"/>
    <w:rsid w:val="1C8D4698"/>
    <w:rsid w:val="1CA620E8"/>
    <w:rsid w:val="1CC14C8E"/>
    <w:rsid w:val="1CE517ED"/>
    <w:rsid w:val="1CF105A9"/>
    <w:rsid w:val="1D266FB0"/>
    <w:rsid w:val="1D3E3B96"/>
    <w:rsid w:val="1D3F2397"/>
    <w:rsid w:val="1D61169F"/>
    <w:rsid w:val="1D736510"/>
    <w:rsid w:val="1DD1581C"/>
    <w:rsid w:val="1DE22329"/>
    <w:rsid w:val="1E280625"/>
    <w:rsid w:val="1E7A126C"/>
    <w:rsid w:val="1EA12A69"/>
    <w:rsid w:val="1ED15392"/>
    <w:rsid w:val="1EF5764D"/>
    <w:rsid w:val="1F2805D8"/>
    <w:rsid w:val="1F4F6170"/>
    <w:rsid w:val="1F664305"/>
    <w:rsid w:val="203D7585"/>
    <w:rsid w:val="20573522"/>
    <w:rsid w:val="20826876"/>
    <w:rsid w:val="20A94F80"/>
    <w:rsid w:val="20CF43D5"/>
    <w:rsid w:val="20D23B40"/>
    <w:rsid w:val="21287025"/>
    <w:rsid w:val="21755EB7"/>
    <w:rsid w:val="21D21144"/>
    <w:rsid w:val="21E86C9F"/>
    <w:rsid w:val="21F85F89"/>
    <w:rsid w:val="21FE025A"/>
    <w:rsid w:val="22254442"/>
    <w:rsid w:val="22C762CE"/>
    <w:rsid w:val="22F12FFE"/>
    <w:rsid w:val="230C5E28"/>
    <w:rsid w:val="235B55CE"/>
    <w:rsid w:val="23830F20"/>
    <w:rsid w:val="25366163"/>
    <w:rsid w:val="25734178"/>
    <w:rsid w:val="257C1A6B"/>
    <w:rsid w:val="25E836D3"/>
    <w:rsid w:val="26237D75"/>
    <w:rsid w:val="26264F9C"/>
    <w:rsid w:val="26267739"/>
    <w:rsid w:val="262D2843"/>
    <w:rsid w:val="26887182"/>
    <w:rsid w:val="26917AEC"/>
    <w:rsid w:val="26923D1C"/>
    <w:rsid w:val="26A42DA3"/>
    <w:rsid w:val="26C54CA9"/>
    <w:rsid w:val="26FC4A2E"/>
    <w:rsid w:val="270A4CE8"/>
    <w:rsid w:val="27322836"/>
    <w:rsid w:val="277437AF"/>
    <w:rsid w:val="277A4A33"/>
    <w:rsid w:val="27C50254"/>
    <w:rsid w:val="283C66EC"/>
    <w:rsid w:val="284F50DF"/>
    <w:rsid w:val="285C4107"/>
    <w:rsid w:val="287762EF"/>
    <w:rsid w:val="28BC06E5"/>
    <w:rsid w:val="28CF39D0"/>
    <w:rsid w:val="290237E2"/>
    <w:rsid w:val="29060EF0"/>
    <w:rsid w:val="2945268E"/>
    <w:rsid w:val="299B059B"/>
    <w:rsid w:val="29D62997"/>
    <w:rsid w:val="2A0566BC"/>
    <w:rsid w:val="2A2F7B25"/>
    <w:rsid w:val="2A503AC4"/>
    <w:rsid w:val="2A571756"/>
    <w:rsid w:val="2A6A5F15"/>
    <w:rsid w:val="2AC0574E"/>
    <w:rsid w:val="2AF70676"/>
    <w:rsid w:val="2B1829AC"/>
    <w:rsid w:val="2BA25129"/>
    <w:rsid w:val="2BE900F1"/>
    <w:rsid w:val="2C21574C"/>
    <w:rsid w:val="2C2818A8"/>
    <w:rsid w:val="2C2E2EE2"/>
    <w:rsid w:val="2C644DBB"/>
    <w:rsid w:val="2CA21312"/>
    <w:rsid w:val="2CB41C7F"/>
    <w:rsid w:val="2CD43B03"/>
    <w:rsid w:val="2CF11774"/>
    <w:rsid w:val="2D264BC9"/>
    <w:rsid w:val="2D352B93"/>
    <w:rsid w:val="2D884A71"/>
    <w:rsid w:val="2E0247B1"/>
    <w:rsid w:val="2E56247C"/>
    <w:rsid w:val="2E89387A"/>
    <w:rsid w:val="2EA31541"/>
    <w:rsid w:val="2ECA0000"/>
    <w:rsid w:val="2ECB0C8D"/>
    <w:rsid w:val="2EDD43FE"/>
    <w:rsid w:val="2EE06419"/>
    <w:rsid w:val="2F5E5572"/>
    <w:rsid w:val="2F8E7C5E"/>
    <w:rsid w:val="2FA5467E"/>
    <w:rsid w:val="2FAA2CB0"/>
    <w:rsid w:val="30020686"/>
    <w:rsid w:val="30A620F5"/>
    <w:rsid w:val="30AE1729"/>
    <w:rsid w:val="30B60017"/>
    <w:rsid w:val="30EA2AE7"/>
    <w:rsid w:val="30F41A57"/>
    <w:rsid w:val="310E15AC"/>
    <w:rsid w:val="312E16D6"/>
    <w:rsid w:val="314B6B5E"/>
    <w:rsid w:val="31612C49"/>
    <w:rsid w:val="318318BE"/>
    <w:rsid w:val="318515AB"/>
    <w:rsid w:val="31AB64C1"/>
    <w:rsid w:val="31BB427E"/>
    <w:rsid w:val="31CD02F1"/>
    <w:rsid w:val="31F47367"/>
    <w:rsid w:val="32B71329"/>
    <w:rsid w:val="32C320D6"/>
    <w:rsid w:val="32C92444"/>
    <w:rsid w:val="33277C66"/>
    <w:rsid w:val="332E100B"/>
    <w:rsid w:val="33CC19A5"/>
    <w:rsid w:val="33E70D75"/>
    <w:rsid w:val="34100A0E"/>
    <w:rsid w:val="34695579"/>
    <w:rsid w:val="347978B7"/>
    <w:rsid w:val="349D2F19"/>
    <w:rsid w:val="34B20B20"/>
    <w:rsid w:val="34B73ADF"/>
    <w:rsid w:val="34CD2305"/>
    <w:rsid w:val="34E32D75"/>
    <w:rsid w:val="34F41E5A"/>
    <w:rsid w:val="350E2FA8"/>
    <w:rsid w:val="358740C7"/>
    <w:rsid w:val="358E6AEC"/>
    <w:rsid w:val="359B0E2F"/>
    <w:rsid w:val="35D90576"/>
    <w:rsid w:val="365F2249"/>
    <w:rsid w:val="36832571"/>
    <w:rsid w:val="36F353A8"/>
    <w:rsid w:val="36F94C14"/>
    <w:rsid w:val="36FB27C4"/>
    <w:rsid w:val="37555D35"/>
    <w:rsid w:val="377B44DF"/>
    <w:rsid w:val="377D424D"/>
    <w:rsid w:val="37C73484"/>
    <w:rsid w:val="385232F1"/>
    <w:rsid w:val="38542731"/>
    <w:rsid w:val="388A207C"/>
    <w:rsid w:val="38994993"/>
    <w:rsid w:val="38D36EEB"/>
    <w:rsid w:val="38E357A5"/>
    <w:rsid w:val="390A15C5"/>
    <w:rsid w:val="393308FE"/>
    <w:rsid w:val="39365912"/>
    <w:rsid w:val="393C6D12"/>
    <w:rsid w:val="398A3A21"/>
    <w:rsid w:val="39DF05F2"/>
    <w:rsid w:val="39E1516B"/>
    <w:rsid w:val="39ED7F85"/>
    <w:rsid w:val="3A0A1A3E"/>
    <w:rsid w:val="3A0C103F"/>
    <w:rsid w:val="3A1C72DE"/>
    <w:rsid w:val="3A42675A"/>
    <w:rsid w:val="3A48701F"/>
    <w:rsid w:val="3A777E18"/>
    <w:rsid w:val="3AA81217"/>
    <w:rsid w:val="3AAF266C"/>
    <w:rsid w:val="3AB07693"/>
    <w:rsid w:val="3AB219D9"/>
    <w:rsid w:val="3AB40C1E"/>
    <w:rsid w:val="3AB95974"/>
    <w:rsid w:val="3AC278EE"/>
    <w:rsid w:val="3AE6166A"/>
    <w:rsid w:val="3B8E65A5"/>
    <w:rsid w:val="3BCB439D"/>
    <w:rsid w:val="3BF96429"/>
    <w:rsid w:val="3BFD31FF"/>
    <w:rsid w:val="3C2A6AC8"/>
    <w:rsid w:val="3C313EBD"/>
    <w:rsid w:val="3C5D1525"/>
    <w:rsid w:val="3C9367A1"/>
    <w:rsid w:val="3CCE4AEA"/>
    <w:rsid w:val="3D353B02"/>
    <w:rsid w:val="3D58525D"/>
    <w:rsid w:val="3DD53A37"/>
    <w:rsid w:val="3DD80C72"/>
    <w:rsid w:val="3E293167"/>
    <w:rsid w:val="3E575BEA"/>
    <w:rsid w:val="3EE55A54"/>
    <w:rsid w:val="3F155EE8"/>
    <w:rsid w:val="3F2B5A19"/>
    <w:rsid w:val="3F341452"/>
    <w:rsid w:val="3FD51FDD"/>
    <w:rsid w:val="40001905"/>
    <w:rsid w:val="400258BE"/>
    <w:rsid w:val="4003646F"/>
    <w:rsid w:val="400501E3"/>
    <w:rsid w:val="4136284E"/>
    <w:rsid w:val="416B12DB"/>
    <w:rsid w:val="419E5408"/>
    <w:rsid w:val="419E6E0A"/>
    <w:rsid w:val="42AE48A1"/>
    <w:rsid w:val="42B3623B"/>
    <w:rsid w:val="42C04BE3"/>
    <w:rsid w:val="430276D7"/>
    <w:rsid w:val="43052609"/>
    <w:rsid w:val="432E5E0D"/>
    <w:rsid w:val="43624B22"/>
    <w:rsid w:val="438B4663"/>
    <w:rsid w:val="43A70304"/>
    <w:rsid w:val="43AC34C7"/>
    <w:rsid w:val="43C262CE"/>
    <w:rsid w:val="43CF018A"/>
    <w:rsid w:val="43DA1EF0"/>
    <w:rsid w:val="44193148"/>
    <w:rsid w:val="44855D09"/>
    <w:rsid w:val="44B222A9"/>
    <w:rsid w:val="44CF0B84"/>
    <w:rsid w:val="44FD7ABB"/>
    <w:rsid w:val="4504279D"/>
    <w:rsid w:val="45253239"/>
    <w:rsid w:val="4530330D"/>
    <w:rsid w:val="45342D9D"/>
    <w:rsid w:val="45451C83"/>
    <w:rsid w:val="454F55BB"/>
    <w:rsid w:val="4563289A"/>
    <w:rsid w:val="456350F0"/>
    <w:rsid w:val="45C511B3"/>
    <w:rsid w:val="45C70D17"/>
    <w:rsid w:val="45FF38A7"/>
    <w:rsid w:val="461F2119"/>
    <w:rsid w:val="46367437"/>
    <w:rsid w:val="46591F5D"/>
    <w:rsid w:val="467C2BC0"/>
    <w:rsid w:val="46FE0A50"/>
    <w:rsid w:val="47245EF4"/>
    <w:rsid w:val="474D73A9"/>
    <w:rsid w:val="479472C1"/>
    <w:rsid w:val="479F5359"/>
    <w:rsid w:val="48027006"/>
    <w:rsid w:val="48454FC8"/>
    <w:rsid w:val="48543C58"/>
    <w:rsid w:val="489D7AC3"/>
    <w:rsid w:val="48A91818"/>
    <w:rsid w:val="48F932C4"/>
    <w:rsid w:val="496505CB"/>
    <w:rsid w:val="49857B1D"/>
    <w:rsid w:val="49EC0D61"/>
    <w:rsid w:val="49F44F00"/>
    <w:rsid w:val="4A231C5B"/>
    <w:rsid w:val="4A396F28"/>
    <w:rsid w:val="4A453997"/>
    <w:rsid w:val="4AA21396"/>
    <w:rsid w:val="4B156C5A"/>
    <w:rsid w:val="4B157CFD"/>
    <w:rsid w:val="4B171D6D"/>
    <w:rsid w:val="4B5E62E4"/>
    <w:rsid w:val="4B6C2E6B"/>
    <w:rsid w:val="4B946C2B"/>
    <w:rsid w:val="4BAF744C"/>
    <w:rsid w:val="4BC211D7"/>
    <w:rsid w:val="4BC9658A"/>
    <w:rsid w:val="4BD340C9"/>
    <w:rsid w:val="4BEC748A"/>
    <w:rsid w:val="4C1E1D3E"/>
    <w:rsid w:val="4C7A0534"/>
    <w:rsid w:val="4CCC26B8"/>
    <w:rsid w:val="4CEE0B89"/>
    <w:rsid w:val="4CFB1C8F"/>
    <w:rsid w:val="4D230223"/>
    <w:rsid w:val="4D310E53"/>
    <w:rsid w:val="4D7600BD"/>
    <w:rsid w:val="4D9A27EA"/>
    <w:rsid w:val="4DA579E7"/>
    <w:rsid w:val="4E0B586F"/>
    <w:rsid w:val="4E0E3C69"/>
    <w:rsid w:val="4E7236E5"/>
    <w:rsid w:val="4E751EBB"/>
    <w:rsid w:val="4E8D0EF5"/>
    <w:rsid w:val="4E920210"/>
    <w:rsid w:val="4EB2252D"/>
    <w:rsid w:val="4EE77859"/>
    <w:rsid w:val="4EF12E4F"/>
    <w:rsid w:val="4EFE0875"/>
    <w:rsid w:val="4F511BA6"/>
    <w:rsid w:val="4F515970"/>
    <w:rsid w:val="4F5F51DE"/>
    <w:rsid w:val="4FD25C76"/>
    <w:rsid w:val="4FE939A1"/>
    <w:rsid w:val="50704912"/>
    <w:rsid w:val="509F25F0"/>
    <w:rsid w:val="50CB0149"/>
    <w:rsid w:val="511016CF"/>
    <w:rsid w:val="51836E6C"/>
    <w:rsid w:val="518D5531"/>
    <w:rsid w:val="518F6686"/>
    <w:rsid w:val="51965953"/>
    <w:rsid w:val="519F7F3A"/>
    <w:rsid w:val="51C56641"/>
    <w:rsid w:val="51FA690E"/>
    <w:rsid w:val="52083FC3"/>
    <w:rsid w:val="52606E19"/>
    <w:rsid w:val="5269604B"/>
    <w:rsid w:val="52D56D82"/>
    <w:rsid w:val="52FC30B2"/>
    <w:rsid w:val="5356615C"/>
    <w:rsid w:val="538448E3"/>
    <w:rsid w:val="53905350"/>
    <w:rsid w:val="53DD2630"/>
    <w:rsid w:val="541F3DEC"/>
    <w:rsid w:val="54293697"/>
    <w:rsid w:val="543667F2"/>
    <w:rsid w:val="544C4593"/>
    <w:rsid w:val="54772855"/>
    <w:rsid w:val="54B77DD9"/>
    <w:rsid w:val="54D61D8A"/>
    <w:rsid w:val="54F6319F"/>
    <w:rsid w:val="54F707BF"/>
    <w:rsid w:val="5505380E"/>
    <w:rsid w:val="550D0BD2"/>
    <w:rsid w:val="551F1C27"/>
    <w:rsid w:val="55540812"/>
    <w:rsid w:val="5575660D"/>
    <w:rsid w:val="558F6281"/>
    <w:rsid w:val="55934C25"/>
    <w:rsid w:val="56493CC6"/>
    <w:rsid w:val="569973AE"/>
    <w:rsid w:val="56A3310C"/>
    <w:rsid w:val="56C77A4D"/>
    <w:rsid w:val="56D60C9C"/>
    <w:rsid w:val="56DA42EA"/>
    <w:rsid w:val="571D38F1"/>
    <w:rsid w:val="571E0D07"/>
    <w:rsid w:val="581D1C8D"/>
    <w:rsid w:val="58687209"/>
    <w:rsid w:val="58812CEA"/>
    <w:rsid w:val="588A55FB"/>
    <w:rsid w:val="58905894"/>
    <w:rsid w:val="58A20668"/>
    <w:rsid w:val="58BB6F26"/>
    <w:rsid w:val="5905028C"/>
    <w:rsid w:val="592763C2"/>
    <w:rsid w:val="596914A5"/>
    <w:rsid w:val="598333AE"/>
    <w:rsid w:val="599166FB"/>
    <w:rsid w:val="59B55CE6"/>
    <w:rsid w:val="59D36432"/>
    <w:rsid w:val="5A0F1DEF"/>
    <w:rsid w:val="5A140C9C"/>
    <w:rsid w:val="5A5F07CE"/>
    <w:rsid w:val="5A8F06E7"/>
    <w:rsid w:val="5ACA240C"/>
    <w:rsid w:val="5ADC010B"/>
    <w:rsid w:val="5AEE7842"/>
    <w:rsid w:val="5B6E5A1E"/>
    <w:rsid w:val="5B755ECF"/>
    <w:rsid w:val="5B766931"/>
    <w:rsid w:val="5B991B19"/>
    <w:rsid w:val="5BE21850"/>
    <w:rsid w:val="5BF856E3"/>
    <w:rsid w:val="5C0B6185"/>
    <w:rsid w:val="5C975219"/>
    <w:rsid w:val="5D05602A"/>
    <w:rsid w:val="5D894D1C"/>
    <w:rsid w:val="5DB42A8D"/>
    <w:rsid w:val="5E1A3C99"/>
    <w:rsid w:val="5E35101D"/>
    <w:rsid w:val="5EDA7BA4"/>
    <w:rsid w:val="5F11249D"/>
    <w:rsid w:val="5F1644A3"/>
    <w:rsid w:val="5F2206FC"/>
    <w:rsid w:val="5FA94F33"/>
    <w:rsid w:val="5FF06AB2"/>
    <w:rsid w:val="603B5F7B"/>
    <w:rsid w:val="604D4189"/>
    <w:rsid w:val="60566112"/>
    <w:rsid w:val="6091349C"/>
    <w:rsid w:val="609D134B"/>
    <w:rsid w:val="60E811C5"/>
    <w:rsid w:val="61163F7D"/>
    <w:rsid w:val="61435174"/>
    <w:rsid w:val="61637811"/>
    <w:rsid w:val="618726A7"/>
    <w:rsid w:val="61897D39"/>
    <w:rsid w:val="61957ECE"/>
    <w:rsid w:val="61BE56AB"/>
    <w:rsid w:val="61F956D4"/>
    <w:rsid w:val="62464166"/>
    <w:rsid w:val="624B5109"/>
    <w:rsid w:val="62531EF9"/>
    <w:rsid w:val="626B082B"/>
    <w:rsid w:val="62A26711"/>
    <w:rsid w:val="63425842"/>
    <w:rsid w:val="63E57BCD"/>
    <w:rsid w:val="64136311"/>
    <w:rsid w:val="641C2704"/>
    <w:rsid w:val="642D09CE"/>
    <w:rsid w:val="64415EDC"/>
    <w:rsid w:val="64AD5C22"/>
    <w:rsid w:val="64AD78AD"/>
    <w:rsid w:val="65734E5D"/>
    <w:rsid w:val="657A557E"/>
    <w:rsid w:val="6596271A"/>
    <w:rsid w:val="659921C9"/>
    <w:rsid w:val="65997150"/>
    <w:rsid w:val="65D925BF"/>
    <w:rsid w:val="65F76F40"/>
    <w:rsid w:val="66694A0A"/>
    <w:rsid w:val="66AF0F84"/>
    <w:rsid w:val="66C158B3"/>
    <w:rsid w:val="672B5E03"/>
    <w:rsid w:val="67540A21"/>
    <w:rsid w:val="67670B08"/>
    <w:rsid w:val="67BB62FE"/>
    <w:rsid w:val="67D57255"/>
    <w:rsid w:val="67D641DB"/>
    <w:rsid w:val="67D844EF"/>
    <w:rsid w:val="67DC10FA"/>
    <w:rsid w:val="680B6796"/>
    <w:rsid w:val="685D2EEB"/>
    <w:rsid w:val="68772F17"/>
    <w:rsid w:val="687D1E6A"/>
    <w:rsid w:val="687E5A40"/>
    <w:rsid w:val="689345AE"/>
    <w:rsid w:val="68B80122"/>
    <w:rsid w:val="68CE614C"/>
    <w:rsid w:val="68D85C83"/>
    <w:rsid w:val="691D2E42"/>
    <w:rsid w:val="69320BE7"/>
    <w:rsid w:val="699D1CA4"/>
    <w:rsid w:val="6A0554B9"/>
    <w:rsid w:val="6A405BBE"/>
    <w:rsid w:val="6ACF2B5B"/>
    <w:rsid w:val="6ADE7C07"/>
    <w:rsid w:val="6B645322"/>
    <w:rsid w:val="6BCD1A9E"/>
    <w:rsid w:val="6BE718C4"/>
    <w:rsid w:val="6C520360"/>
    <w:rsid w:val="6C6D2047"/>
    <w:rsid w:val="6C95244A"/>
    <w:rsid w:val="6CB229AD"/>
    <w:rsid w:val="6CC000F1"/>
    <w:rsid w:val="6CC24686"/>
    <w:rsid w:val="6CCB0793"/>
    <w:rsid w:val="6CED024A"/>
    <w:rsid w:val="6CF94A1D"/>
    <w:rsid w:val="6D235C5D"/>
    <w:rsid w:val="6D2F7A6E"/>
    <w:rsid w:val="6D3B0A87"/>
    <w:rsid w:val="6DD87211"/>
    <w:rsid w:val="6DE74DB4"/>
    <w:rsid w:val="6E08232C"/>
    <w:rsid w:val="6E133E9E"/>
    <w:rsid w:val="6EA71FC5"/>
    <w:rsid w:val="6F0D459B"/>
    <w:rsid w:val="6F257B24"/>
    <w:rsid w:val="6F671EF2"/>
    <w:rsid w:val="6FD305F7"/>
    <w:rsid w:val="70333315"/>
    <w:rsid w:val="70455317"/>
    <w:rsid w:val="707766A4"/>
    <w:rsid w:val="708311DD"/>
    <w:rsid w:val="71403578"/>
    <w:rsid w:val="71DE04CB"/>
    <w:rsid w:val="71EB3D24"/>
    <w:rsid w:val="72344812"/>
    <w:rsid w:val="7281365C"/>
    <w:rsid w:val="72B80BC0"/>
    <w:rsid w:val="72BF7C4A"/>
    <w:rsid w:val="7304509B"/>
    <w:rsid w:val="736A41F7"/>
    <w:rsid w:val="73DD31D5"/>
    <w:rsid w:val="74307B72"/>
    <w:rsid w:val="74544D53"/>
    <w:rsid w:val="745A0E49"/>
    <w:rsid w:val="74A24700"/>
    <w:rsid w:val="74A46295"/>
    <w:rsid w:val="74E41A9D"/>
    <w:rsid w:val="75325F6F"/>
    <w:rsid w:val="754F5A1B"/>
    <w:rsid w:val="755D7685"/>
    <w:rsid w:val="75656590"/>
    <w:rsid w:val="75711A69"/>
    <w:rsid w:val="75877DC5"/>
    <w:rsid w:val="75920AEC"/>
    <w:rsid w:val="75935086"/>
    <w:rsid w:val="75B9722F"/>
    <w:rsid w:val="75C3121E"/>
    <w:rsid w:val="76383EA5"/>
    <w:rsid w:val="764126A4"/>
    <w:rsid w:val="765F2F70"/>
    <w:rsid w:val="76653459"/>
    <w:rsid w:val="76C63502"/>
    <w:rsid w:val="76CE3D14"/>
    <w:rsid w:val="76DC3F17"/>
    <w:rsid w:val="76FC588D"/>
    <w:rsid w:val="770D3492"/>
    <w:rsid w:val="77496B91"/>
    <w:rsid w:val="774F6B14"/>
    <w:rsid w:val="779F42D6"/>
    <w:rsid w:val="785020E2"/>
    <w:rsid w:val="78670F64"/>
    <w:rsid w:val="78780601"/>
    <w:rsid w:val="78A52A29"/>
    <w:rsid w:val="78CE759D"/>
    <w:rsid w:val="790121D6"/>
    <w:rsid w:val="7905522D"/>
    <w:rsid w:val="79094BAD"/>
    <w:rsid w:val="797C29AE"/>
    <w:rsid w:val="79E52644"/>
    <w:rsid w:val="79E56692"/>
    <w:rsid w:val="79E70839"/>
    <w:rsid w:val="7A1218BE"/>
    <w:rsid w:val="7A4F784E"/>
    <w:rsid w:val="7A5E65B3"/>
    <w:rsid w:val="7A8E29D6"/>
    <w:rsid w:val="7A98197A"/>
    <w:rsid w:val="7AAB5B13"/>
    <w:rsid w:val="7AEC23D7"/>
    <w:rsid w:val="7AFB491F"/>
    <w:rsid w:val="7B030810"/>
    <w:rsid w:val="7B223761"/>
    <w:rsid w:val="7B6F5F27"/>
    <w:rsid w:val="7BB15CA7"/>
    <w:rsid w:val="7BDF36FB"/>
    <w:rsid w:val="7BF41BF9"/>
    <w:rsid w:val="7C294818"/>
    <w:rsid w:val="7C3C0ECC"/>
    <w:rsid w:val="7C422829"/>
    <w:rsid w:val="7C44479D"/>
    <w:rsid w:val="7C4628FA"/>
    <w:rsid w:val="7C7143F9"/>
    <w:rsid w:val="7CA95EF7"/>
    <w:rsid w:val="7CDF3A5C"/>
    <w:rsid w:val="7D377864"/>
    <w:rsid w:val="7D510CF7"/>
    <w:rsid w:val="7DAD416F"/>
    <w:rsid w:val="7DB158D5"/>
    <w:rsid w:val="7DEE2109"/>
    <w:rsid w:val="7E2547F7"/>
    <w:rsid w:val="7E4B6B00"/>
    <w:rsid w:val="7E563459"/>
    <w:rsid w:val="7E721471"/>
    <w:rsid w:val="7E740C82"/>
    <w:rsid w:val="7E95229A"/>
    <w:rsid w:val="7EB6189A"/>
    <w:rsid w:val="7EC46072"/>
    <w:rsid w:val="7F56358B"/>
    <w:rsid w:val="7FC73D11"/>
    <w:rsid w:val="7FD57C09"/>
    <w:rsid w:val="7FEF6028"/>
    <w:rsid w:val="7FFF6CC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0" w:name="toc 1" w:locked="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qFormat="1" w:unhideWhenUsed="0" w:uiPriority="99"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5"/>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6"/>
    <w:qFormat/>
    <w:uiPriority w:val="99"/>
    <w:pPr>
      <w:keepNext/>
      <w:keepLines/>
      <w:spacing w:before="260" w:after="260" w:line="416" w:lineRule="auto"/>
      <w:outlineLvl w:val="1"/>
    </w:pPr>
    <w:rPr>
      <w:rFonts w:ascii="Calibri Light" w:hAnsi="Calibri Light"/>
      <w:b/>
      <w:bCs/>
      <w:sz w:val="32"/>
      <w:szCs w:val="32"/>
    </w:rPr>
  </w:style>
  <w:style w:type="paragraph" w:styleId="4">
    <w:name w:val="heading 3"/>
    <w:basedOn w:val="1"/>
    <w:next w:val="1"/>
    <w:link w:val="27"/>
    <w:qFormat/>
    <w:uiPriority w:val="99"/>
    <w:pPr>
      <w:keepNext/>
      <w:keepLines/>
      <w:autoSpaceDE w:val="0"/>
      <w:autoSpaceDN w:val="0"/>
      <w:spacing w:before="260" w:after="260" w:line="416" w:lineRule="auto"/>
      <w:jc w:val="left"/>
      <w:outlineLvl w:val="2"/>
    </w:pPr>
    <w:rPr>
      <w:rFonts w:ascii="宋体" w:hAnsi="宋体" w:cs="宋体"/>
      <w:b/>
      <w:bCs/>
      <w:kern w:val="0"/>
      <w:sz w:val="32"/>
      <w:szCs w:val="32"/>
      <w:lang w:eastAsia="en-US"/>
    </w:rPr>
  </w:style>
  <w:style w:type="character" w:default="1" w:styleId="20">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99"/>
    <w:rPr>
      <w:rFonts w:ascii="Cambria" w:hAnsi="Cambria" w:eastAsia="黑体"/>
      <w:sz w:val="20"/>
      <w:szCs w:val="24"/>
    </w:rPr>
  </w:style>
  <w:style w:type="paragraph" w:styleId="6">
    <w:name w:val="annotation text"/>
    <w:basedOn w:val="1"/>
    <w:link w:val="28"/>
    <w:qFormat/>
    <w:uiPriority w:val="99"/>
    <w:pPr>
      <w:jc w:val="left"/>
    </w:pPr>
  </w:style>
  <w:style w:type="paragraph" w:styleId="7">
    <w:name w:val="Body Text"/>
    <w:basedOn w:val="1"/>
    <w:link w:val="29"/>
    <w:qFormat/>
    <w:uiPriority w:val="99"/>
    <w:pPr>
      <w:autoSpaceDE w:val="0"/>
      <w:autoSpaceDN w:val="0"/>
      <w:spacing w:before="9"/>
      <w:ind w:left="117" w:firstLine="440"/>
      <w:jc w:val="left"/>
    </w:pPr>
    <w:rPr>
      <w:rFonts w:ascii="宋体" w:hAnsi="宋体" w:cs="宋体"/>
      <w:kern w:val="0"/>
      <w:sz w:val="22"/>
      <w:lang w:eastAsia="en-US"/>
    </w:rPr>
  </w:style>
  <w:style w:type="paragraph" w:styleId="8">
    <w:name w:val="Body Text Indent"/>
    <w:basedOn w:val="1"/>
    <w:link w:val="30"/>
    <w:qFormat/>
    <w:uiPriority w:val="99"/>
    <w:pPr>
      <w:spacing w:after="120"/>
      <w:ind w:left="420" w:leftChars="200"/>
    </w:pPr>
    <w:rPr>
      <w:rFonts w:ascii="Times New Roman" w:hAnsi="Times New Roman"/>
    </w:rPr>
  </w:style>
  <w:style w:type="paragraph" w:styleId="9">
    <w:name w:val="Plain Text"/>
    <w:basedOn w:val="1"/>
    <w:link w:val="31"/>
    <w:qFormat/>
    <w:uiPriority w:val="99"/>
    <w:rPr>
      <w:rFonts w:ascii="宋体" w:hAnsi="Courier New" w:cs="Courier New"/>
      <w:szCs w:val="21"/>
    </w:rPr>
  </w:style>
  <w:style w:type="paragraph" w:styleId="10">
    <w:name w:val="Balloon Text"/>
    <w:basedOn w:val="1"/>
    <w:link w:val="32"/>
    <w:qFormat/>
    <w:uiPriority w:val="99"/>
    <w:rPr>
      <w:rFonts w:ascii="Times New Roman" w:hAnsi="Times New Roman"/>
      <w:kern w:val="0"/>
      <w:sz w:val="18"/>
      <w:szCs w:val="18"/>
    </w:rPr>
  </w:style>
  <w:style w:type="paragraph" w:styleId="11">
    <w:name w:val="footer"/>
    <w:basedOn w:val="1"/>
    <w:link w:val="33"/>
    <w:qFormat/>
    <w:uiPriority w:val="99"/>
    <w:pPr>
      <w:tabs>
        <w:tab w:val="center" w:pos="4153"/>
        <w:tab w:val="right" w:pos="8306"/>
      </w:tabs>
      <w:snapToGrid w:val="0"/>
      <w:jc w:val="left"/>
    </w:pPr>
    <w:rPr>
      <w:sz w:val="18"/>
      <w:szCs w:val="18"/>
    </w:rPr>
  </w:style>
  <w:style w:type="paragraph" w:styleId="12">
    <w:name w:val="header"/>
    <w:basedOn w:val="1"/>
    <w:link w:val="34"/>
    <w:qFormat/>
    <w:uiPriority w:val="99"/>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35"/>
    <w:qFormat/>
    <w:uiPriority w:val="99"/>
    <w:pPr>
      <w:spacing w:before="240" w:after="60" w:line="312" w:lineRule="auto"/>
      <w:jc w:val="center"/>
      <w:outlineLvl w:val="1"/>
    </w:pPr>
    <w:rPr>
      <w:rFonts w:ascii="Calibri Light" w:hAnsi="Calibri Light"/>
      <w:b/>
      <w:bCs/>
      <w:kern w:val="28"/>
      <w:sz w:val="32"/>
      <w:szCs w:val="32"/>
    </w:rPr>
  </w:style>
  <w:style w:type="paragraph" w:styleId="14">
    <w:name w:val="Normal (Web)"/>
    <w:basedOn w:val="1"/>
    <w:qFormat/>
    <w:uiPriority w:val="99"/>
    <w:pPr>
      <w:spacing w:before="100" w:beforeAutospacing="1" w:after="100" w:afterAutospacing="1"/>
      <w:jc w:val="left"/>
    </w:pPr>
    <w:rPr>
      <w:rFonts w:ascii="Times New Roman" w:hAnsi="Times New Roman"/>
      <w:kern w:val="0"/>
      <w:sz w:val="24"/>
    </w:rPr>
  </w:style>
  <w:style w:type="paragraph" w:styleId="15">
    <w:name w:val="Title"/>
    <w:basedOn w:val="1"/>
    <w:next w:val="1"/>
    <w:link w:val="36"/>
    <w:qFormat/>
    <w:uiPriority w:val="99"/>
    <w:pPr>
      <w:spacing w:before="240" w:after="60"/>
      <w:jc w:val="center"/>
      <w:outlineLvl w:val="0"/>
    </w:pPr>
    <w:rPr>
      <w:rFonts w:ascii="Calibri Light" w:hAnsi="Calibri Light"/>
      <w:b/>
      <w:bCs/>
      <w:sz w:val="32"/>
      <w:szCs w:val="32"/>
    </w:rPr>
  </w:style>
  <w:style w:type="paragraph" w:styleId="16">
    <w:name w:val="annotation subject"/>
    <w:basedOn w:val="6"/>
    <w:next w:val="6"/>
    <w:link w:val="37"/>
    <w:qFormat/>
    <w:uiPriority w:val="99"/>
    <w:rPr>
      <w:rFonts w:ascii="Times New Roman" w:hAnsi="Times New Roman"/>
      <w:b/>
      <w:bCs/>
      <w:kern w:val="0"/>
      <w:sz w:val="20"/>
      <w:szCs w:val="20"/>
    </w:r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9">
    <w:name w:val="Light Grid Accent 6"/>
    <w:basedOn w:val="17"/>
    <w:qFormat/>
    <w:uiPriority w:val="99"/>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CellMar>
        <w:top w:w="0" w:type="dxa"/>
        <w:left w:w="108" w:type="dxa"/>
        <w:bottom w:w="0" w:type="dxa"/>
        <w:right w:w="108" w:type="dxa"/>
      </w:tblCellMar>
    </w:tblPr>
    <w:tblStylePr w:type="firstRow">
      <w:pPr>
        <w:spacing w:before="0" w:after="0"/>
      </w:pPr>
      <w:rPr>
        <w:rFonts w:ascii="Calibri Light" w:hAnsi="Calibri Light" w:eastAsia="宋体" w:cs="Times New Roman"/>
        <w:b/>
        <w:bCs/>
      </w:rPr>
      <w:tbl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pPr>
      <w:rPr>
        <w:rFonts w:ascii="Calibri Light" w:hAnsi="Calibri Light" w:eastAsia="宋体" w:cs="Times New Roman"/>
        <w:b/>
        <w:bCs/>
      </w:rPr>
      <w:tbl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Calibri Light" w:hAnsi="Calibri Light" w:eastAsia="宋体" w:cs="Times New Roman"/>
        <w:b/>
        <w:bCs/>
      </w:rPr>
    </w:tblStylePr>
    <w:tblStylePr w:type="lastCol">
      <w:rPr>
        <w:rFonts w:ascii="Calibri Light" w:hAnsi="Calibri Light" w:eastAsia="宋体" w:cs="Times New Roman"/>
        <w:b/>
        <w:bCs/>
      </w:rPr>
      <w:tblPr/>
      <w:tcPr>
        <w:tcBorders>
          <w:top w:val="single" w:color="70AD47" w:sz="8" w:space="0"/>
          <w:left w:val="single" w:color="70AD47" w:sz="8" w:space="0"/>
          <w:bottom w:val="single" w:color="70AD47" w:sz="8" w:space="0"/>
          <w:right w:val="single" w:color="70AD47" w:sz="8" w:space="0"/>
        </w:tcBorders>
      </w:tcPr>
    </w:tblStylePr>
    <w:tblStylePr w:type="band1Vert">
      <w:rPr>
        <w:rFonts w:cs="Times New Roman"/>
      </w:rPr>
      <w:tblPr/>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rPr>
        <w:rFonts w:cs="Times New Roman"/>
      </w:rPr>
      <w:tblPr/>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rPr>
        <w:rFonts w:cs="Times New Roman"/>
      </w:rPr>
      <w:tblPr/>
      <w:tcPr>
        <w:tcBorders>
          <w:top w:val="single" w:color="70AD47" w:sz="8" w:space="0"/>
          <w:left w:val="single" w:color="70AD47" w:sz="8" w:space="0"/>
          <w:bottom w:val="single" w:color="70AD47" w:sz="8" w:space="0"/>
          <w:right w:val="single" w:color="70AD47" w:sz="8" w:space="0"/>
          <w:insideV w:val="single" w:sz="8" w:space="0"/>
        </w:tcBorders>
      </w:tcPr>
    </w:tblStylePr>
  </w:style>
  <w:style w:type="character" w:styleId="21">
    <w:name w:val="Strong"/>
    <w:qFormat/>
    <w:uiPriority w:val="99"/>
    <w:rPr>
      <w:rFonts w:cs="Times New Roman"/>
      <w:b/>
      <w:bCs/>
    </w:rPr>
  </w:style>
  <w:style w:type="character" w:styleId="22">
    <w:name w:val="Emphasis"/>
    <w:qFormat/>
    <w:uiPriority w:val="99"/>
    <w:rPr>
      <w:rFonts w:cs="Times New Roman"/>
      <w:i/>
      <w:iCs/>
    </w:rPr>
  </w:style>
  <w:style w:type="character" w:styleId="23">
    <w:name w:val="Hyperlink"/>
    <w:qFormat/>
    <w:uiPriority w:val="99"/>
    <w:rPr>
      <w:rFonts w:cs="Times New Roman"/>
      <w:color w:val="0000FF"/>
      <w:u w:val="single"/>
    </w:rPr>
  </w:style>
  <w:style w:type="character" w:styleId="24">
    <w:name w:val="annotation reference"/>
    <w:qFormat/>
    <w:uiPriority w:val="99"/>
    <w:rPr>
      <w:rFonts w:cs="Times New Roman"/>
      <w:sz w:val="21"/>
    </w:rPr>
  </w:style>
  <w:style w:type="character" w:customStyle="1" w:styleId="25">
    <w:name w:val="标题 1 Char"/>
    <w:link w:val="2"/>
    <w:qFormat/>
    <w:locked/>
    <w:uiPriority w:val="99"/>
    <w:rPr>
      <w:rFonts w:ascii="Times New Roman" w:hAnsi="Times New Roman" w:eastAsia="宋体" w:cs="Times New Roman"/>
      <w:b/>
      <w:bCs/>
      <w:kern w:val="44"/>
      <w:sz w:val="44"/>
      <w:szCs w:val="44"/>
    </w:rPr>
  </w:style>
  <w:style w:type="character" w:customStyle="1" w:styleId="26">
    <w:name w:val="标题 2 Char"/>
    <w:link w:val="3"/>
    <w:qFormat/>
    <w:locked/>
    <w:uiPriority w:val="99"/>
    <w:rPr>
      <w:rFonts w:ascii="Calibri Light" w:hAnsi="Calibri Light" w:eastAsia="宋体" w:cs="Times New Roman"/>
      <w:b/>
      <w:bCs/>
      <w:sz w:val="32"/>
      <w:szCs w:val="32"/>
    </w:rPr>
  </w:style>
  <w:style w:type="character" w:customStyle="1" w:styleId="27">
    <w:name w:val="标题 3 Char"/>
    <w:link w:val="4"/>
    <w:semiHidden/>
    <w:qFormat/>
    <w:locked/>
    <w:uiPriority w:val="99"/>
    <w:rPr>
      <w:rFonts w:ascii="宋体" w:hAnsi="宋体" w:eastAsia="宋体" w:cs="宋体"/>
      <w:b/>
      <w:bCs/>
      <w:kern w:val="0"/>
      <w:sz w:val="32"/>
      <w:szCs w:val="32"/>
      <w:lang w:eastAsia="en-US"/>
    </w:rPr>
  </w:style>
  <w:style w:type="character" w:customStyle="1" w:styleId="28">
    <w:name w:val="批注文字 Char"/>
    <w:link w:val="6"/>
    <w:qFormat/>
    <w:locked/>
    <w:uiPriority w:val="99"/>
    <w:rPr>
      <w:rFonts w:cs="Times New Roman"/>
    </w:rPr>
  </w:style>
  <w:style w:type="character" w:customStyle="1" w:styleId="29">
    <w:name w:val="正文文本 Char"/>
    <w:link w:val="7"/>
    <w:qFormat/>
    <w:locked/>
    <w:uiPriority w:val="99"/>
    <w:rPr>
      <w:rFonts w:ascii="宋体" w:hAnsi="宋体" w:eastAsia="宋体" w:cs="宋体"/>
      <w:kern w:val="0"/>
      <w:sz w:val="22"/>
      <w:lang w:eastAsia="en-US"/>
    </w:rPr>
  </w:style>
  <w:style w:type="character" w:customStyle="1" w:styleId="30">
    <w:name w:val="正文文本缩进 Char"/>
    <w:basedOn w:val="20"/>
    <w:link w:val="8"/>
    <w:semiHidden/>
    <w:qFormat/>
    <w:uiPriority w:val="99"/>
  </w:style>
  <w:style w:type="character" w:customStyle="1" w:styleId="31">
    <w:name w:val="纯文本 Char"/>
    <w:link w:val="9"/>
    <w:qFormat/>
    <w:locked/>
    <w:uiPriority w:val="99"/>
    <w:rPr>
      <w:rFonts w:ascii="宋体" w:hAnsi="Courier New" w:eastAsia="宋体" w:cs="Courier New"/>
      <w:sz w:val="21"/>
      <w:szCs w:val="21"/>
    </w:rPr>
  </w:style>
  <w:style w:type="character" w:customStyle="1" w:styleId="32">
    <w:name w:val="批注框文本 Char"/>
    <w:link w:val="10"/>
    <w:qFormat/>
    <w:locked/>
    <w:uiPriority w:val="99"/>
    <w:rPr>
      <w:rFonts w:ascii="Times New Roman" w:hAnsi="Times New Roman" w:eastAsia="宋体" w:cs="Times New Roman"/>
      <w:kern w:val="0"/>
      <w:sz w:val="18"/>
      <w:szCs w:val="18"/>
    </w:rPr>
  </w:style>
  <w:style w:type="character" w:customStyle="1" w:styleId="33">
    <w:name w:val="页脚 Char"/>
    <w:link w:val="11"/>
    <w:qFormat/>
    <w:locked/>
    <w:uiPriority w:val="99"/>
    <w:rPr>
      <w:rFonts w:cs="Times New Roman"/>
      <w:sz w:val="18"/>
      <w:szCs w:val="18"/>
    </w:rPr>
  </w:style>
  <w:style w:type="character" w:customStyle="1" w:styleId="34">
    <w:name w:val="页眉 Char"/>
    <w:link w:val="12"/>
    <w:qFormat/>
    <w:locked/>
    <w:uiPriority w:val="99"/>
    <w:rPr>
      <w:rFonts w:cs="Times New Roman"/>
      <w:sz w:val="18"/>
      <w:szCs w:val="18"/>
    </w:rPr>
  </w:style>
  <w:style w:type="character" w:customStyle="1" w:styleId="35">
    <w:name w:val="副标题 Char"/>
    <w:link w:val="13"/>
    <w:qFormat/>
    <w:locked/>
    <w:uiPriority w:val="99"/>
    <w:rPr>
      <w:rFonts w:ascii="Calibri Light" w:hAnsi="Calibri Light" w:eastAsia="宋体" w:cs="Times New Roman"/>
      <w:b/>
      <w:bCs/>
      <w:kern w:val="28"/>
      <w:sz w:val="32"/>
      <w:szCs w:val="32"/>
    </w:rPr>
  </w:style>
  <w:style w:type="character" w:customStyle="1" w:styleId="36">
    <w:name w:val="标题 Char"/>
    <w:link w:val="15"/>
    <w:qFormat/>
    <w:locked/>
    <w:uiPriority w:val="99"/>
    <w:rPr>
      <w:rFonts w:ascii="Calibri Light" w:hAnsi="Calibri Light" w:eastAsia="宋体" w:cs="Times New Roman"/>
      <w:b/>
      <w:bCs/>
      <w:sz w:val="32"/>
      <w:szCs w:val="32"/>
    </w:rPr>
  </w:style>
  <w:style w:type="character" w:customStyle="1" w:styleId="37">
    <w:name w:val="批注主题 Char"/>
    <w:link w:val="16"/>
    <w:qFormat/>
    <w:locked/>
    <w:uiPriority w:val="99"/>
    <w:rPr>
      <w:rFonts w:ascii="Times New Roman" w:hAnsi="Times New Roman" w:eastAsia="宋体" w:cs="Times New Roman"/>
      <w:b/>
      <w:bCs/>
      <w:kern w:val="0"/>
      <w:sz w:val="20"/>
      <w:szCs w:val="20"/>
    </w:rPr>
  </w:style>
  <w:style w:type="paragraph" w:customStyle="1" w:styleId="38">
    <w:name w:val="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styleId="39">
    <w:name w:val="No Spacing"/>
    <w:qFormat/>
    <w:uiPriority w:val="99"/>
    <w:pPr>
      <w:widowControl w:val="0"/>
      <w:jc w:val="both"/>
    </w:pPr>
    <w:rPr>
      <w:rFonts w:ascii="宋体" w:hAnsi="Times New Roman" w:eastAsia="宋体" w:cs="Times New Roman"/>
      <w:kern w:val="2"/>
      <w:sz w:val="28"/>
      <w:lang w:val="en-US" w:eastAsia="zh-CN" w:bidi="ar-SA"/>
    </w:rPr>
  </w:style>
  <w:style w:type="paragraph" w:styleId="40">
    <w:name w:val="Quote"/>
    <w:basedOn w:val="1"/>
    <w:next w:val="1"/>
    <w:link w:val="41"/>
    <w:qFormat/>
    <w:uiPriority w:val="99"/>
    <w:rPr>
      <w:rFonts w:ascii="Times New Roman" w:hAnsi="Times New Roman"/>
      <w:i/>
      <w:iCs/>
      <w:color w:val="000000"/>
      <w:szCs w:val="24"/>
    </w:rPr>
  </w:style>
  <w:style w:type="character" w:customStyle="1" w:styleId="41">
    <w:name w:val="引用 Char"/>
    <w:link w:val="40"/>
    <w:qFormat/>
    <w:locked/>
    <w:uiPriority w:val="99"/>
    <w:rPr>
      <w:rFonts w:ascii="Times New Roman" w:hAnsi="Times New Roman" w:eastAsia="宋体" w:cs="Times New Roman"/>
      <w:i/>
      <w:iCs/>
      <w:color w:val="000000"/>
      <w:sz w:val="24"/>
      <w:szCs w:val="24"/>
    </w:rPr>
  </w:style>
  <w:style w:type="character" w:customStyle="1" w:styleId="42">
    <w:name w:val="不明显强调1"/>
    <w:qFormat/>
    <w:uiPriority w:val="99"/>
    <w:rPr>
      <w:rFonts w:cs="Times New Roman"/>
      <w:i/>
      <w:iCs/>
      <w:color w:val="7F7F7F"/>
    </w:rPr>
  </w:style>
  <w:style w:type="character" w:customStyle="1" w:styleId="43">
    <w:name w:val="明显强调1"/>
    <w:qFormat/>
    <w:uiPriority w:val="99"/>
    <w:rPr>
      <w:rFonts w:cs="Times New Roman"/>
      <w:b/>
      <w:bCs/>
      <w:i/>
      <w:iCs/>
      <w:color w:val="5B9BD5"/>
    </w:rPr>
  </w:style>
  <w:style w:type="table" w:customStyle="1" w:styleId="44">
    <w:name w:val="Table Normal1"/>
    <w:semiHidden/>
    <w:qFormat/>
    <w:uiPriority w:val="99"/>
    <w:pPr>
      <w:widowControl w:val="0"/>
      <w:autoSpaceDE w:val="0"/>
      <w:autoSpaceDN w:val="0"/>
    </w:pPr>
    <w:rPr>
      <w:sz w:val="22"/>
      <w:lang w:eastAsia="en-US"/>
    </w:rPr>
    <w:tblPr>
      <w:tblCellMar>
        <w:top w:w="0" w:type="dxa"/>
        <w:left w:w="0" w:type="dxa"/>
        <w:bottom w:w="0" w:type="dxa"/>
        <w:right w:w="0" w:type="dxa"/>
      </w:tblCellMar>
    </w:tblPr>
  </w:style>
  <w:style w:type="paragraph" w:styleId="45">
    <w:name w:val="List Paragraph"/>
    <w:basedOn w:val="1"/>
    <w:qFormat/>
    <w:uiPriority w:val="99"/>
    <w:pPr>
      <w:autoSpaceDE w:val="0"/>
      <w:autoSpaceDN w:val="0"/>
      <w:spacing w:before="42"/>
      <w:ind w:left="117" w:right="356" w:firstLine="440"/>
      <w:jc w:val="left"/>
    </w:pPr>
    <w:rPr>
      <w:rFonts w:ascii="宋体" w:hAnsi="宋体" w:cs="宋体"/>
      <w:kern w:val="0"/>
      <w:sz w:val="22"/>
      <w:lang w:eastAsia="en-US"/>
    </w:rPr>
  </w:style>
  <w:style w:type="paragraph" w:customStyle="1" w:styleId="46">
    <w:name w:val="Table Paragraph"/>
    <w:basedOn w:val="1"/>
    <w:qFormat/>
    <w:uiPriority w:val="99"/>
    <w:pPr>
      <w:autoSpaceDE w:val="0"/>
      <w:autoSpaceDN w:val="0"/>
      <w:spacing w:before="98"/>
      <w:jc w:val="center"/>
    </w:pPr>
    <w:rPr>
      <w:rFonts w:ascii="宋体" w:hAnsi="宋体" w:cs="宋体"/>
      <w:kern w:val="0"/>
      <w:sz w:val="22"/>
      <w:lang w:eastAsia="en-US"/>
    </w:rPr>
  </w:style>
  <w:style w:type="character" w:customStyle="1" w:styleId="47">
    <w:name w:val="批注文字 Char1"/>
    <w:qFormat/>
    <w:uiPriority w:val="99"/>
    <w:rPr>
      <w:rFonts w:ascii="宋体" w:eastAsia="宋体" w:cs="宋体"/>
      <w:sz w:val="22"/>
      <w:szCs w:val="22"/>
      <w:lang w:eastAsia="en-US"/>
    </w:rPr>
  </w:style>
  <w:style w:type="character" w:customStyle="1" w:styleId="48">
    <w:name w:val="批注主题 Char1"/>
    <w:semiHidden/>
    <w:qFormat/>
    <w:uiPriority w:val="99"/>
    <w:rPr>
      <w:rFonts w:ascii="宋体" w:eastAsia="宋体" w:cs="宋体"/>
      <w:b/>
      <w:bCs/>
      <w:sz w:val="22"/>
      <w:szCs w:val="22"/>
      <w:lang w:eastAsia="en-US"/>
    </w:rPr>
  </w:style>
  <w:style w:type="character" w:customStyle="1" w:styleId="49">
    <w:name w:val="批注框文本 Char1"/>
    <w:semiHidden/>
    <w:qFormat/>
    <w:uiPriority w:val="99"/>
    <w:rPr>
      <w:rFonts w:cs="Times New Roman"/>
      <w:kern w:val="2"/>
      <w:sz w:val="18"/>
      <w:szCs w:val="18"/>
    </w:rPr>
  </w:style>
  <w:style w:type="character" w:customStyle="1" w:styleId="50">
    <w:name w:val="apple-converted-space"/>
    <w:qFormat/>
    <w:uiPriority w:val="99"/>
    <w:rPr>
      <w:rFonts w:cs="Times New Roman"/>
    </w:rPr>
  </w:style>
  <w:style w:type="character" w:customStyle="1" w:styleId="51">
    <w:name w:val="style11"/>
    <w:qFormat/>
    <w:uiPriority w:val="99"/>
    <w:rPr>
      <w:b/>
      <w:sz w:val="22"/>
    </w:rPr>
  </w:style>
  <w:style w:type="character" w:customStyle="1" w:styleId="52">
    <w:name w:val="txt"/>
    <w:qFormat/>
    <w:uiPriority w:val="99"/>
  </w:style>
  <w:style w:type="paragraph" w:customStyle="1" w:styleId="53">
    <w:name w:val="reader-word-layer reader-word-s1-2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4">
    <w:name w:val="默认段落字体 Para Char"/>
    <w:basedOn w:val="1"/>
    <w:qFormat/>
    <w:uiPriority w:val="99"/>
    <w:pPr>
      <w:spacing w:beforeLines="50" w:afterLines="50"/>
      <w:jc w:val="left"/>
    </w:pPr>
    <w:rPr>
      <w:rFonts w:ascii="Times New Roman" w:hAnsi="Times New Roman"/>
      <w:sz w:val="30"/>
      <w:szCs w:val="32"/>
    </w:rPr>
  </w:style>
  <w:style w:type="character" w:customStyle="1" w:styleId="55">
    <w:name w:val="纯文本 Char1"/>
    <w:semiHidden/>
    <w:qFormat/>
    <w:uiPriority w:val="99"/>
    <w:rPr>
      <w:rFonts w:ascii="宋体" w:hAnsi="Courier New" w:cs="Courier New"/>
      <w:kern w:val="2"/>
      <w:sz w:val="21"/>
      <w:szCs w:val="21"/>
    </w:rPr>
  </w:style>
  <w:style w:type="paragraph" w:customStyle="1" w:styleId="56">
    <w:name w:val="reader-word-layer reader-word-s1-2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7">
    <w:name w:val="reader-word-layer reader-word-s1-1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8">
    <w:name w:val="reader-word-layer reader-word-s1-8"/>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9">
    <w:name w:val="reader-word-layer reader-word-s1-17"/>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0">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1">
    <w:name w:val="Default Paragraph Font Para Char Char Char Char Char Char"/>
    <w:basedOn w:val="1"/>
    <w:qFormat/>
    <w:uiPriority w:val="99"/>
    <w:pPr>
      <w:widowControl/>
      <w:spacing w:after="160" w:line="240" w:lineRule="exact"/>
      <w:jc w:val="left"/>
    </w:pPr>
    <w:rPr>
      <w:rFonts w:ascii="Times New Roman" w:hAnsi="Times New Roman"/>
      <w:szCs w:val="24"/>
    </w:rPr>
  </w:style>
  <w:style w:type="paragraph" w:customStyle="1" w:styleId="62">
    <w:name w:val="Char"/>
    <w:basedOn w:val="1"/>
    <w:qFormat/>
    <w:uiPriority w:val="99"/>
    <w:pPr>
      <w:spacing w:line="360" w:lineRule="auto"/>
    </w:pPr>
    <w:rPr>
      <w:rFonts w:ascii="Times New Roman" w:hAnsi="Times New Roman"/>
      <w:szCs w:val="21"/>
    </w:rPr>
  </w:style>
  <w:style w:type="paragraph" w:customStyle="1" w:styleId="63">
    <w:name w:val="reader-word-layer reader-word-s1-2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4">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5">
    <w:name w:val="正文1"/>
    <w:qFormat/>
    <w:uiPriority w:val="99"/>
    <w:pPr>
      <w:jc w:val="both"/>
    </w:pPr>
    <w:rPr>
      <w:rFonts w:ascii="Times New Roman" w:hAnsi="Times New Roman" w:eastAsia="宋体" w:cs="Times New Roman"/>
      <w:kern w:val="2"/>
      <w:sz w:val="21"/>
      <w:szCs w:val="21"/>
      <w:lang w:val="en-US" w:eastAsia="zh-CN" w:bidi="ar-SA"/>
    </w:rPr>
  </w:style>
  <w:style w:type="paragraph" w:customStyle="1" w:styleId="66">
    <w:name w:val="reader-word-layer reader-word-s1-2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7">
    <w:name w:val="reader-word-layer reader-word-s1-8 reader-word-s1-22"/>
    <w:basedOn w:val="1"/>
    <w:qFormat/>
    <w:uiPriority w:val="99"/>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3073"/>
    <customShpInfo spid="_x0000_s307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5D9F98-A5D2-49BE-A9F3-B8EE5054273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29</Pages>
  <Words>4718</Words>
  <Characters>26897</Characters>
  <Lines>224</Lines>
  <Paragraphs>63</Paragraphs>
  <TotalTime>1</TotalTime>
  <ScaleCrop>false</ScaleCrop>
  <LinksUpToDate>false</LinksUpToDate>
  <CharactersWithSpaces>31552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2020-08-03T02:21:00Z</dcterms:created>
  <dc:creator>qu</dc:creator>
  <cp:lastModifiedBy>oasis</cp:lastModifiedBy>
  <dcterms:modified xsi:type="dcterms:W3CDTF">2021-02-17T10:30:39Z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