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center"/>
        <w:rPr>
          <w:rFonts w:eastAsia="黑体"/>
          <w:bCs/>
          <w:color w:val="auto"/>
          <w:sz w:val="36"/>
          <w:szCs w:val="36"/>
        </w:rPr>
      </w:pPr>
      <w:bookmarkStart w:id="4" w:name="_GoBack"/>
      <w:r>
        <w:rPr>
          <w:rFonts w:eastAsia="黑体"/>
          <w:color w:val="auto"/>
          <w:sz w:val="36"/>
          <w:szCs w:val="36"/>
        </w:rPr>
        <w:t>物流管理专业</w:t>
      </w:r>
      <w:r>
        <w:rPr>
          <w:rFonts w:eastAsia="黑体"/>
          <w:bCs/>
          <w:color w:val="auto"/>
          <w:sz w:val="36"/>
          <w:szCs w:val="36"/>
        </w:rPr>
        <w:t>（</w:t>
      </w:r>
      <w:r>
        <w:rPr>
          <w:rFonts w:hint="eastAsia" w:eastAsia="黑体"/>
          <w:bCs/>
          <w:color w:val="auto"/>
          <w:sz w:val="36"/>
          <w:szCs w:val="36"/>
        </w:rPr>
        <w:t>“</w:t>
      </w:r>
      <w:r>
        <w:rPr>
          <w:rFonts w:eastAsia="黑体"/>
          <w:bCs/>
          <w:color w:val="auto"/>
          <w:kern w:val="0"/>
          <w:sz w:val="36"/>
          <w:szCs w:val="36"/>
        </w:rPr>
        <w:t>3+2</w:t>
      </w:r>
      <w:r>
        <w:rPr>
          <w:rFonts w:hint="eastAsia" w:eastAsia="黑体"/>
          <w:bCs/>
          <w:color w:val="auto"/>
          <w:sz w:val="36"/>
          <w:szCs w:val="36"/>
        </w:rPr>
        <w:t>”</w:t>
      </w:r>
      <w:r>
        <w:rPr>
          <w:rFonts w:eastAsia="黑体"/>
          <w:bCs/>
          <w:color w:val="auto"/>
          <w:kern w:val="0"/>
          <w:sz w:val="36"/>
          <w:szCs w:val="36"/>
        </w:rPr>
        <w:t>对口贯通分段培养</w:t>
      </w:r>
      <w:r>
        <w:rPr>
          <w:rFonts w:hint="eastAsia" w:eastAsia="黑体"/>
          <w:bCs/>
          <w:color w:val="auto"/>
          <w:kern w:val="0"/>
          <w:sz w:val="36"/>
          <w:szCs w:val="36"/>
        </w:rPr>
        <w:t>）</w:t>
      </w:r>
    </w:p>
    <w:p>
      <w:pPr>
        <w:spacing w:after="240" w:afterLines="100" w:line="520" w:lineRule="exact"/>
        <w:jc w:val="center"/>
        <w:rPr>
          <w:rFonts w:eastAsia="方正小标宋简体"/>
          <w:color w:val="auto"/>
          <w:sz w:val="44"/>
          <w:szCs w:val="44"/>
        </w:rPr>
      </w:pPr>
      <w:r>
        <w:rPr>
          <w:rFonts w:eastAsia="黑体"/>
          <w:color w:val="auto"/>
          <w:sz w:val="36"/>
          <w:szCs w:val="36"/>
        </w:rPr>
        <w:t>人才培养方案</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一、专业名称(中英文)与专业代码</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专业名称：</w:t>
      </w:r>
      <w:r>
        <w:rPr>
          <w:rFonts w:eastAsia="仿宋_GB2312"/>
          <w:color w:val="auto"/>
          <w:sz w:val="24"/>
        </w:rPr>
        <w:t>物流管理（3+2</w:t>
      </w:r>
      <w:r>
        <w:rPr>
          <w:rFonts w:hint="eastAsia" w:eastAsia="仿宋_GB2312"/>
          <w:color w:val="auto"/>
          <w:sz w:val="24"/>
        </w:rPr>
        <w:t>）</w:t>
      </w:r>
      <w:r>
        <w:rPr>
          <w:rFonts w:eastAsia="仿宋_GB2312"/>
          <w:color w:val="auto"/>
          <w:sz w:val="24"/>
        </w:rPr>
        <w:t xml:space="preserve">[Logistics Management </w:t>
      </w:r>
      <w:r>
        <w:rPr>
          <w:rFonts w:hint="eastAsia" w:eastAsia="仿宋_GB2312"/>
          <w:color w:val="auto"/>
          <w:sz w:val="24"/>
        </w:rPr>
        <w:t>（</w:t>
      </w:r>
      <w:r>
        <w:rPr>
          <w:rFonts w:eastAsia="仿宋_GB2312"/>
          <w:color w:val="auto"/>
          <w:sz w:val="24"/>
        </w:rPr>
        <w:t>3+2</w:t>
      </w:r>
      <w:r>
        <w:rPr>
          <w:rFonts w:hint="eastAsia" w:eastAsia="仿宋_GB2312"/>
          <w:color w:val="auto"/>
          <w:sz w:val="24"/>
        </w:rPr>
        <w:t>）</w:t>
      </w:r>
      <w:r>
        <w:rPr>
          <w:rFonts w:eastAsia="仿宋_GB2312"/>
          <w:color w:val="auto"/>
          <w:sz w:val="24"/>
        </w:rPr>
        <w:t>]</w:t>
      </w:r>
    </w:p>
    <w:p>
      <w:pPr>
        <w:adjustRightInd w:val="0"/>
        <w:snapToGrid w:val="0"/>
        <w:spacing w:line="360" w:lineRule="auto"/>
        <w:ind w:firstLine="480" w:firstLineChars="200"/>
        <w:rPr>
          <w:color w:val="auto"/>
          <w:sz w:val="24"/>
        </w:rPr>
      </w:pPr>
      <w:r>
        <w:rPr>
          <w:rFonts w:eastAsia="仿宋_GB2312"/>
          <w:color w:val="auto"/>
          <w:sz w:val="24"/>
        </w:rPr>
        <w:t>专业代码：120601</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培养德智体美劳全面发展，对国家和社会具有高度责任感，了解现代物流行业或领域发展动态和问题，掌握供应链管理理论、物流系统优化理论与</w:t>
      </w:r>
      <w:r>
        <w:rPr>
          <w:rFonts w:hint="eastAsia" w:eastAsia="仿宋_GB2312"/>
          <w:color w:val="auto"/>
          <w:sz w:val="24"/>
          <w:lang w:eastAsia="zh-CN"/>
        </w:rPr>
        <w:t>运营管理</w:t>
      </w:r>
      <w:r>
        <w:rPr>
          <w:rFonts w:hint="eastAsia" w:eastAsia="仿宋_GB2312"/>
          <w:color w:val="auto"/>
          <w:sz w:val="24"/>
        </w:rPr>
        <w:t>方法等理论知识，具备</w:t>
      </w:r>
      <w:r>
        <w:rPr>
          <w:rFonts w:eastAsia="仿宋_GB2312"/>
          <w:color w:val="auto"/>
          <w:sz w:val="24"/>
        </w:rPr>
        <w:t>国际物流市场开发、国际货运代理、报关报检等专业基本知识与操作</w:t>
      </w:r>
      <w:r>
        <w:rPr>
          <w:rFonts w:hint="eastAsia" w:eastAsia="仿宋_GB2312"/>
          <w:color w:val="auto"/>
          <w:sz w:val="24"/>
        </w:rPr>
        <w:t>能力</w:t>
      </w:r>
      <w:r>
        <w:rPr>
          <w:rFonts w:eastAsia="仿宋_GB2312"/>
          <w:color w:val="auto"/>
          <w:sz w:val="24"/>
        </w:rPr>
        <w:t>，具有较强的创新精神、创业意识</w:t>
      </w:r>
      <w:r>
        <w:rPr>
          <w:rFonts w:hint="eastAsia" w:eastAsia="仿宋_GB2312"/>
          <w:color w:val="auto"/>
          <w:sz w:val="24"/>
        </w:rPr>
        <w:t>的社会主义事业合格建设者和可靠接班人，</w:t>
      </w:r>
      <w:r>
        <w:rPr>
          <w:rFonts w:eastAsia="仿宋_GB2312"/>
          <w:color w:val="auto"/>
          <w:sz w:val="24"/>
        </w:rPr>
        <w:t>能够在各类港口物流、国际物流等企业</w:t>
      </w:r>
      <w:r>
        <w:rPr>
          <w:rFonts w:hint="eastAsia" w:eastAsia="仿宋_GB2312"/>
          <w:color w:val="auto"/>
          <w:sz w:val="24"/>
        </w:rPr>
        <w:t>从事</w:t>
      </w:r>
      <w:r>
        <w:rPr>
          <w:rFonts w:eastAsia="仿宋_GB2312"/>
          <w:color w:val="auto"/>
          <w:sz w:val="24"/>
        </w:rPr>
        <w:t>物流企业管理、市场开发、运营操作、客户管理等</w:t>
      </w:r>
      <w:r>
        <w:rPr>
          <w:rFonts w:hint="eastAsia" w:eastAsia="仿宋_GB2312"/>
          <w:color w:val="auto"/>
          <w:sz w:val="24"/>
        </w:rPr>
        <w:t>相关工作的应用型复合型</w:t>
      </w:r>
      <w:r>
        <w:rPr>
          <w:rFonts w:eastAsia="仿宋_GB2312"/>
          <w:color w:val="auto"/>
          <w:sz w:val="24"/>
        </w:rPr>
        <w:t>人才。</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本专业毕业生毕业5年以后预期达到以下目标：</w:t>
      </w:r>
    </w:p>
    <w:p>
      <w:pPr>
        <w:adjustRightInd w:val="0"/>
        <w:snapToGrid w:val="0"/>
        <w:spacing w:line="360" w:lineRule="auto"/>
        <w:ind w:firstLine="480" w:firstLineChars="200"/>
        <w:rPr>
          <w:rFonts w:eastAsia="仿宋_GB2312"/>
          <w:color w:val="auto"/>
          <w:sz w:val="24"/>
        </w:rPr>
      </w:pPr>
      <w:r>
        <w:rPr>
          <w:rFonts w:hint="eastAsia" w:ascii="仿宋" w:hAnsi="仿宋" w:eastAsia="仿宋_GB2312" w:cs="仿宋"/>
          <w:color w:val="auto"/>
          <w:kern w:val="0"/>
          <w:sz w:val="24"/>
        </w:rPr>
        <w:t>（1）职业素养：</w:t>
      </w:r>
      <w:r>
        <w:rPr>
          <w:rFonts w:ascii="仿宋" w:hAnsi="仿宋" w:eastAsia="仿宋_GB2312" w:cs="仿宋"/>
          <w:color w:val="auto"/>
          <w:kern w:val="0"/>
          <w:sz w:val="24"/>
        </w:rPr>
        <w:t>具有</w:t>
      </w:r>
      <w:r>
        <w:rPr>
          <w:rFonts w:hint="eastAsia" w:ascii="仿宋" w:hAnsi="仿宋" w:eastAsia="仿宋_GB2312" w:cs="仿宋"/>
          <w:color w:val="auto"/>
          <w:kern w:val="0"/>
          <w:sz w:val="24"/>
        </w:rPr>
        <w:t>高度的社会责任感和使命感，</w:t>
      </w:r>
      <w:r>
        <w:rPr>
          <w:rFonts w:ascii="仿宋" w:hAnsi="仿宋" w:eastAsia="仿宋_GB2312" w:cs="仿宋"/>
          <w:color w:val="auto"/>
          <w:kern w:val="0"/>
          <w:sz w:val="24"/>
        </w:rPr>
        <w:t>良好的</w:t>
      </w:r>
      <w:r>
        <w:rPr>
          <w:rFonts w:hint="eastAsia" w:ascii="仿宋" w:hAnsi="仿宋" w:eastAsia="仿宋_GB2312" w:cs="仿宋"/>
          <w:color w:val="auto"/>
          <w:kern w:val="0"/>
          <w:sz w:val="24"/>
        </w:rPr>
        <w:t>科学文化素养和国际视野，能够在物流管理工作中坚守职业伦理道德规范</w:t>
      </w:r>
      <w:r>
        <w:rPr>
          <w:rFonts w:hint="eastAsia" w:eastAsia="仿宋_GB2312"/>
          <w:color w:val="auto"/>
          <w:sz w:val="24"/>
        </w:rPr>
        <w:t>，</w:t>
      </w:r>
      <w:r>
        <w:rPr>
          <w:rFonts w:hint="eastAsia" w:ascii="仿宋" w:hAnsi="仿宋" w:eastAsia="仿宋_GB2312" w:cs="仿宋"/>
          <w:color w:val="auto"/>
          <w:kern w:val="0"/>
          <w:sz w:val="24"/>
        </w:rPr>
        <w:t>做</w:t>
      </w:r>
      <w:r>
        <w:rPr>
          <w:rFonts w:eastAsia="仿宋_GB2312"/>
          <w:color w:val="auto"/>
          <w:sz w:val="24"/>
        </w:rPr>
        <w:t>社会主义事业合格建设者和可靠接班人</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hint="eastAsia" w:ascii="仿宋" w:hAnsi="仿宋" w:eastAsia="仿宋_GB2312" w:cs="仿宋"/>
          <w:color w:val="auto"/>
          <w:kern w:val="0"/>
          <w:sz w:val="24"/>
        </w:rPr>
        <w:t>（</w:t>
      </w:r>
      <w:r>
        <w:rPr>
          <w:rFonts w:ascii="仿宋" w:hAnsi="仿宋" w:eastAsia="仿宋_GB2312" w:cs="仿宋"/>
          <w:color w:val="auto"/>
          <w:kern w:val="0"/>
          <w:sz w:val="24"/>
        </w:rPr>
        <w:t>2</w:t>
      </w:r>
      <w:r>
        <w:rPr>
          <w:rFonts w:hint="eastAsia" w:ascii="仿宋" w:hAnsi="仿宋" w:eastAsia="仿宋_GB2312" w:cs="仿宋"/>
          <w:color w:val="auto"/>
          <w:kern w:val="0"/>
          <w:sz w:val="24"/>
        </w:rPr>
        <w:t>）创新能力：具有从事物流及供应链管理工作的基本能力，具有国际视野和创新意识，具有良好的沟通能力和协作能力，具备港口物流管理的专业能力与工作经验，能够胜任物流管理及相关领域工作，并成长为业务或管理骨干。</w:t>
      </w:r>
    </w:p>
    <w:p>
      <w:pPr>
        <w:adjustRightInd w:val="0"/>
        <w:snapToGrid w:val="0"/>
        <w:spacing w:line="360" w:lineRule="auto"/>
        <w:ind w:firstLine="480" w:firstLineChars="200"/>
        <w:rPr>
          <w:rFonts w:ascii="仿宋" w:hAnsi="仿宋" w:eastAsia="仿宋_GB2312" w:cs="仿宋"/>
          <w:color w:val="auto"/>
          <w:kern w:val="0"/>
          <w:sz w:val="24"/>
        </w:rPr>
      </w:pPr>
      <w:r>
        <w:rPr>
          <w:rFonts w:hint="eastAsia" w:ascii="仿宋" w:hAnsi="仿宋" w:eastAsia="仿宋_GB2312" w:cs="仿宋"/>
          <w:color w:val="auto"/>
          <w:kern w:val="0"/>
          <w:sz w:val="24"/>
        </w:rPr>
        <w:t>（</w:t>
      </w:r>
      <w:r>
        <w:rPr>
          <w:rFonts w:ascii="仿宋" w:hAnsi="仿宋" w:eastAsia="仿宋_GB2312" w:cs="仿宋"/>
          <w:color w:val="auto"/>
          <w:kern w:val="0"/>
          <w:sz w:val="24"/>
        </w:rPr>
        <w:t>3</w:t>
      </w:r>
      <w:r>
        <w:rPr>
          <w:rFonts w:hint="eastAsia" w:ascii="仿宋" w:hAnsi="仿宋" w:eastAsia="仿宋_GB2312" w:cs="仿宋"/>
          <w:color w:val="auto"/>
          <w:kern w:val="0"/>
          <w:sz w:val="24"/>
        </w:rPr>
        <w:t>）学习能力：具有扎实的专业基础和较高的专业素质，</w:t>
      </w:r>
      <w:r>
        <w:rPr>
          <w:rFonts w:ascii="仿宋" w:hAnsi="仿宋" w:eastAsia="仿宋_GB2312" w:cs="仿宋"/>
          <w:color w:val="auto"/>
          <w:kern w:val="0"/>
          <w:sz w:val="24"/>
        </w:rPr>
        <w:t>能够追踪</w:t>
      </w:r>
      <w:r>
        <w:rPr>
          <w:rFonts w:hint="eastAsia" w:ascii="仿宋" w:hAnsi="仿宋" w:eastAsia="仿宋_GB2312" w:cs="仿宋"/>
          <w:color w:val="auto"/>
          <w:kern w:val="0"/>
          <w:sz w:val="24"/>
        </w:rPr>
        <w:t>物流行业或领域</w:t>
      </w:r>
      <w:r>
        <w:rPr>
          <w:rFonts w:ascii="仿宋" w:hAnsi="仿宋" w:eastAsia="仿宋_GB2312" w:cs="仿宋"/>
          <w:color w:val="auto"/>
          <w:kern w:val="0"/>
          <w:sz w:val="24"/>
        </w:rPr>
        <w:t>的最新进展与发展动态</w:t>
      </w:r>
      <w:r>
        <w:rPr>
          <w:rFonts w:hint="eastAsia" w:ascii="仿宋" w:hAnsi="仿宋" w:eastAsia="仿宋_GB2312" w:cs="仿宋"/>
          <w:color w:val="auto"/>
          <w:kern w:val="0"/>
          <w:sz w:val="24"/>
        </w:rPr>
        <w:t>，具有良好的终身学习习惯，</w:t>
      </w:r>
      <w:r>
        <w:rPr>
          <w:rFonts w:ascii="仿宋" w:hAnsi="仿宋" w:eastAsia="仿宋_GB2312" w:cs="仿宋"/>
          <w:color w:val="auto"/>
          <w:kern w:val="0"/>
          <w:sz w:val="24"/>
        </w:rPr>
        <w:t>具有自主学习、</w:t>
      </w:r>
      <w:r>
        <w:rPr>
          <w:rFonts w:hint="eastAsia" w:ascii="仿宋" w:hAnsi="仿宋" w:eastAsia="仿宋_GB2312" w:cs="仿宋"/>
          <w:color w:val="auto"/>
          <w:kern w:val="0"/>
          <w:sz w:val="24"/>
        </w:rPr>
        <w:t>持续学习</w:t>
      </w:r>
      <w:r>
        <w:rPr>
          <w:rFonts w:ascii="仿宋" w:hAnsi="仿宋" w:eastAsia="仿宋_GB2312" w:cs="仿宋"/>
          <w:color w:val="auto"/>
          <w:kern w:val="0"/>
          <w:sz w:val="24"/>
        </w:rPr>
        <w:t>和适应发展的能力，</w:t>
      </w:r>
      <w:r>
        <w:rPr>
          <w:rFonts w:hint="eastAsia" w:eastAsia="仿宋_GB2312"/>
          <w:color w:val="auto"/>
          <w:sz w:val="24"/>
        </w:rPr>
        <w:t>能够适应</w:t>
      </w:r>
      <w:r>
        <w:rPr>
          <w:rFonts w:eastAsia="仿宋_GB2312"/>
          <w:color w:val="auto"/>
          <w:sz w:val="24"/>
        </w:rPr>
        <w:t>国家、社会和个人</w:t>
      </w:r>
      <w:r>
        <w:rPr>
          <w:rFonts w:hint="eastAsia" w:eastAsia="仿宋_GB2312"/>
          <w:color w:val="auto"/>
          <w:sz w:val="24"/>
        </w:rPr>
        <w:t>成长</w:t>
      </w:r>
      <w:r>
        <w:rPr>
          <w:rFonts w:eastAsia="仿宋_GB2312"/>
          <w:color w:val="auto"/>
          <w:sz w:val="24"/>
        </w:rPr>
        <w:t>发展的需要。</w:t>
      </w:r>
    </w:p>
    <w:p>
      <w:pPr>
        <w:adjustRightInd w:val="0"/>
        <w:snapToGrid w:val="0"/>
        <w:spacing w:line="360" w:lineRule="auto"/>
        <w:ind w:firstLine="482" w:firstLineChars="200"/>
        <w:rPr>
          <w:rFonts w:eastAsia="仿宋_GB2312"/>
          <w:color w:val="auto"/>
          <w:sz w:val="28"/>
          <w:szCs w:val="28"/>
        </w:rPr>
      </w:pPr>
      <w:r>
        <w:rPr>
          <w:rFonts w:eastAsia="仿宋_GB2312"/>
          <w:b/>
          <w:color w:val="auto"/>
          <w:sz w:val="24"/>
        </w:rPr>
        <w:t>专业培养特色：</w:t>
      </w:r>
      <w:r>
        <w:rPr>
          <w:rFonts w:eastAsia="仿宋_GB2312"/>
          <w:color w:val="auto"/>
          <w:sz w:val="24"/>
        </w:rPr>
        <w:t>本专业立足于山东半岛沿海经济发展对</w:t>
      </w:r>
      <w:r>
        <w:rPr>
          <w:rFonts w:hint="eastAsia" w:eastAsia="仿宋_GB2312"/>
          <w:color w:val="auto"/>
          <w:sz w:val="24"/>
        </w:rPr>
        <w:t>港口物流和</w:t>
      </w:r>
      <w:r>
        <w:rPr>
          <w:rFonts w:eastAsia="仿宋_GB2312"/>
          <w:color w:val="auto"/>
          <w:sz w:val="24"/>
        </w:rPr>
        <w:t>国际物流人才需求的实际，以学生</w:t>
      </w:r>
      <w:r>
        <w:rPr>
          <w:rFonts w:hint="eastAsia" w:eastAsia="仿宋_GB2312"/>
          <w:color w:val="auto"/>
          <w:sz w:val="24"/>
        </w:rPr>
        <w:t>创新创业能力</w:t>
      </w:r>
      <w:r>
        <w:rPr>
          <w:rFonts w:eastAsia="仿宋_GB2312"/>
          <w:color w:val="auto"/>
          <w:sz w:val="24"/>
        </w:rPr>
        <w:t>培养为核心，培养</w:t>
      </w:r>
      <w:r>
        <w:rPr>
          <w:rFonts w:hint="eastAsia" w:eastAsia="仿宋_GB2312"/>
          <w:color w:val="auto"/>
          <w:sz w:val="24"/>
        </w:rPr>
        <w:t>具有国际视野，</w:t>
      </w:r>
      <w:r>
        <w:rPr>
          <w:rFonts w:eastAsia="仿宋_GB2312"/>
          <w:color w:val="auto"/>
          <w:sz w:val="24"/>
        </w:rPr>
        <w:t>能够在各类港口物流、国际物流等企业</w:t>
      </w:r>
      <w:r>
        <w:rPr>
          <w:rFonts w:hint="eastAsia" w:eastAsia="仿宋_GB2312"/>
          <w:color w:val="auto"/>
          <w:sz w:val="24"/>
        </w:rPr>
        <w:t>从事相关工作的应用型复合型特色</w:t>
      </w:r>
      <w:r>
        <w:rPr>
          <w:rFonts w:eastAsia="仿宋_GB2312"/>
          <w:color w:val="auto"/>
          <w:sz w:val="24"/>
        </w:rPr>
        <w:t>人才</w:t>
      </w:r>
    </w:p>
    <w:p>
      <w:pPr>
        <w:adjustRightInd w:val="0"/>
        <w:snapToGrid w:val="0"/>
        <w:spacing w:line="360" w:lineRule="auto"/>
        <w:ind w:firstLine="560" w:firstLineChars="200"/>
        <w:rPr>
          <w:rFonts w:eastAsia="仿宋_GB2312"/>
          <w:color w:val="auto"/>
          <w:sz w:val="28"/>
          <w:szCs w:val="28"/>
        </w:rPr>
      </w:pPr>
    </w:p>
    <w:p>
      <w:pPr>
        <w:adjustRightInd w:val="0"/>
        <w:snapToGrid w:val="0"/>
        <w:spacing w:line="360" w:lineRule="auto"/>
        <w:ind w:firstLine="560" w:firstLineChars="200"/>
        <w:rPr>
          <w:rFonts w:eastAsia="仿宋_GB2312"/>
          <w:color w:val="auto"/>
          <w:sz w:val="28"/>
          <w:szCs w:val="28"/>
        </w:rPr>
      </w:pPr>
    </w:p>
    <w:p>
      <w:pPr>
        <w:adjustRightInd w:val="0"/>
        <w:snapToGrid w:val="0"/>
        <w:spacing w:before="120" w:beforeLines="50" w:line="360" w:lineRule="auto"/>
        <w:ind w:firstLine="560" w:firstLineChars="200"/>
        <w:rPr>
          <w:rFonts w:eastAsia="黑体"/>
          <w:bCs/>
          <w:color w:val="auto"/>
          <w:sz w:val="28"/>
          <w:szCs w:val="28"/>
        </w:rPr>
      </w:pPr>
      <w:r>
        <w:rPr>
          <w:rFonts w:eastAsia="黑体"/>
          <w:bCs/>
          <w:color w:val="auto"/>
          <w:sz w:val="28"/>
          <w:szCs w:val="28"/>
        </w:rPr>
        <w:t>三、毕业要求</w:t>
      </w:r>
    </w:p>
    <w:p>
      <w:pPr>
        <w:adjustRightInd w:val="0"/>
        <w:snapToGrid w:val="0"/>
        <w:spacing w:line="360" w:lineRule="auto"/>
        <w:ind w:firstLine="482" w:firstLineChars="200"/>
        <w:rPr>
          <w:rFonts w:eastAsia="仿宋_GB2312"/>
          <w:b/>
          <w:color w:val="auto"/>
          <w:sz w:val="24"/>
        </w:rPr>
      </w:pPr>
      <w:r>
        <w:rPr>
          <w:rFonts w:eastAsia="仿宋_GB2312"/>
          <w:b/>
          <w:color w:val="auto"/>
          <w:sz w:val="24"/>
        </w:rPr>
        <w:t>（一）毕业基本要求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1.知识要求（A）</w:t>
      </w:r>
    </w:p>
    <w:p>
      <w:pPr>
        <w:adjustRightInd w:val="0"/>
        <w:snapToGrid w:val="0"/>
        <w:spacing w:line="360" w:lineRule="auto"/>
        <w:ind w:firstLine="480" w:firstLineChars="200"/>
        <w:rPr>
          <w:rFonts w:eastAsia="仿宋_GB2312"/>
          <w:color w:val="auto"/>
          <w:sz w:val="24"/>
        </w:rPr>
      </w:pPr>
      <w:r>
        <w:rPr>
          <w:rFonts w:eastAsia="仿宋_GB2312"/>
          <w:color w:val="auto"/>
          <w:sz w:val="24"/>
        </w:rPr>
        <w:t>（A1）人文知识：具有较全面的人文社会科学、自然科学、外语及计算机等方面的基本知识；</w:t>
      </w:r>
    </w:p>
    <w:p>
      <w:pPr>
        <w:adjustRightInd w:val="0"/>
        <w:snapToGrid w:val="0"/>
        <w:spacing w:line="360" w:lineRule="auto"/>
        <w:ind w:firstLine="480" w:firstLineChars="200"/>
        <w:rPr>
          <w:rFonts w:eastAsia="仿宋_GB2312"/>
          <w:color w:val="auto"/>
          <w:sz w:val="24"/>
        </w:rPr>
      </w:pPr>
      <w:r>
        <w:rPr>
          <w:rFonts w:eastAsia="仿宋_GB2312"/>
          <w:color w:val="auto"/>
          <w:sz w:val="24"/>
        </w:rPr>
        <w:t>（A2）经济管理知识：系统掌握管理学、经济学等现代科学的基本理论和基础知识；</w:t>
      </w:r>
    </w:p>
    <w:p>
      <w:pPr>
        <w:adjustRightInd w:val="0"/>
        <w:snapToGrid w:val="0"/>
        <w:spacing w:line="360" w:lineRule="auto"/>
        <w:ind w:firstLine="480" w:firstLineChars="200"/>
        <w:rPr>
          <w:rFonts w:eastAsia="仿宋_GB2312"/>
          <w:color w:val="auto"/>
          <w:sz w:val="24"/>
        </w:rPr>
      </w:pPr>
      <w:r>
        <w:rPr>
          <w:rFonts w:eastAsia="仿宋_GB2312"/>
          <w:color w:val="auto"/>
          <w:sz w:val="24"/>
        </w:rPr>
        <w:t>（A3）专业类知识：掌握物流与供应链管理理论与方法、物流系统优化理论与物流</w:t>
      </w:r>
      <w:r>
        <w:rPr>
          <w:rFonts w:hint="eastAsia" w:eastAsia="仿宋_GB2312"/>
          <w:color w:val="auto"/>
          <w:sz w:val="24"/>
          <w:lang w:eastAsia="zh-CN"/>
        </w:rPr>
        <w:t>运营管理</w:t>
      </w:r>
      <w:r>
        <w:rPr>
          <w:rFonts w:eastAsia="仿宋_GB2312"/>
          <w:color w:val="auto"/>
          <w:sz w:val="24"/>
        </w:rPr>
        <w:t>等专业知识；</w:t>
      </w:r>
    </w:p>
    <w:p>
      <w:pPr>
        <w:adjustRightInd w:val="0"/>
        <w:snapToGrid w:val="0"/>
        <w:spacing w:line="360" w:lineRule="auto"/>
        <w:ind w:firstLine="480" w:firstLineChars="200"/>
        <w:rPr>
          <w:rFonts w:eastAsia="仿宋_GB2312"/>
          <w:color w:val="auto"/>
          <w:sz w:val="24"/>
        </w:rPr>
      </w:pPr>
      <w:r>
        <w:rPr>
          <w:rFonts w:eastAsia="仿宋_GB2312"/>
          <w:color w:val="auto"/>
          <w:sz w:val="24"/>
        </w:rPr>
        <w:t>（A4）专业综合知识：掌握国内外供应链及物流领域理论与实际发展状况和趋势，以及国际物流与农产品物流运作模式，了解</w:t>
      </w:r>
      <w:r>
        <w:rPr>
          <w:rFonts w:hint="eastAsia" w:eastAsia="仿宋_GB2312"/>
          <w:color w:val="auto"/>
          <w:sz w:val="24"/>
          <w:lang w:eastAsia="zh-CN"/>
        </w:rPr>
        <w:t>农产品国际贸易</w:t>
      </w:r>
      <w:r>
        <w:rPr>
          <w:rFonts w:eastAsia="仿宋_GB2312"/>
          <w:color w:val="auto"/>
          <w:sz w:val="24"/>
        </w:rPr>
        <w:t>方面的方针、政策与法规；</w:t>
      </w:r>
    </w:p>
    <w:p>
      <w:pPr>
        <w:adjustRightInd w:val="0"/>
        <w:snapToGrid w:val="0"/>
        <w:spacing w:line="360" w:lineRule="auto"/>
        <w:ind w:firstLine="480" w:firstLineChars="200"/>
        <w:rPr>
          <w:rFonts w:eastAsia="仿宋_GB2312"/>
          <w:color w:val="auto"/>
          <w:sz w:val="24"/>
        </w:rPr>
      </w:pPr>
      <w:r>
        <w:rPr>
          <w:rFonts w:eastAsia="仿宋_GB2312"/>
          <w:color w:val="auto"/>
          <w:sz w:val="24"/>
        </w:rPr>
        <w:t>2.能力要求（B）</w:t>
      </w:r>
    </w:p>
    <w:p>
      <w:pPr>
        <w:adjustRightInd w:val="0"/>
        <w:snapToGrid w:val="0"/>
        <w:spacing w:line="360" w:lineRule="auto"/>
        <w:ind w:firstLine="480" w:firstLineChars="200"/>
        <w:rPr>
          <w:rFonts w:eastAsia="仿宋_GB2312"/>
          <w:color w:val="auto"/>
          <w:sz w:val="24"/>
        </w:rPr>
      </w:pPr>
      <w:r>
        <w:rPr>
          <w:rFonts w:eastAsia="仿宋_GB2312"/>
          <w:color w:val="auto"/>
          <w:sz w:val="24"/>
        </w:rPr>
        <w:t>（B1）知识获取能力：具有自主学习能力、表达能力、社交能力、计算机及信息技术应用能力；</w:t>
      </w:r>
    </w:p>
    <w:p>
      <w:pPr>
        <w:adjustRightInd w:val="0"/>
        <w:snapToGrid w:val="0"/>
        <w:spacing w:line="360" w:lineRule="auto"/>
        <w:ind w:firstLine="480" w:firstLineChars="200"/>
        <w:rPr>
          <w:rFonts w:eastAsia="仿宋_GB2312"/>
          <w:color w:val="auto"/>
          <w:sz w:val="24"/>
        </w:rPr>
      </w:pPr>
      <w:r>
        <w:rPr>
          <w:rFonts w:eastAsia="仿宋_GB2312"/>
          <w:color w:val="auto"/>
          <w:sz w:val="24"/>
        </w:rPr>
        <w:t>（B2）知识应用能力：具备将所学的知识，专业理论与知识融会贯通，灵活应用于专业实践之中的基本工作技能；</w:t>
      </w:r>
    </w:p>
    <w:p>
      <w:pPr>
        <w:adjustRightInd w:val="0"/>
        <w:snapToGrid w:val="0"/>
        <w:spacing w:line="360" w:lineRule="auto"/>
        <w:ind w:firstLine="480" w:firstLineChars="200"/>
        <w:rPr>
          <w:rFonts w:eastAsia="仿宋_GB2312"/>
          <w:color w:val="auto"/>
          <w:sz w:val="24"/>
        </w:rPr>
      </w:pPr>
      <w:r>
        <w:rPr>
          <w:rFonts w:eastAsia="仿宋_GB2312"/>
          <w:color w:val="auto"/>
          <w:sz w:val="24"/>
        </w:rPr>
        <w:t>（B3）创新创业能力：具备以创造性思维方法开展科学研究和就业创业实践的创新能力；</w:t>
      </w:r>
    </w:p>
    <w:p>
      <w:pPr>
        <w:adjustRightInd w:val="0"/>
        <w:snapToGrid w:val="0"/>
        <w:spacing w:line="360" w:lineRule="auto"/>
        <w:ind w:firstLine="480" w:firstLineChars="200"/>
        <w:rPr>
          <w:rFonts w:eastAsia="仿宋_GB2312"/>
          <w:color w:val="auto"/>
          <w:sz w:val="24"/>
        </w:rPr>
      </w:pPr>
      <w:r>
        <w:rPr>
          <w:rFonts w:eastAsia="仿宋_GB2312"/>
          <w:color w:val="auto"/>
          <w:sz w:val="24"/>
        </w:rPr>
        <w:t>（B4）沟通协调能力：具备良好的沟通能力和一定的跨文化、跨语言交流与合作能力。</w:t>
      </w:r>
    </w:p>
    <w:p>
      <w:pPr>
        <w:adjustRightInd w:val="0"/>
        <w:snapToGrid w:val="0"/>
        <w:spacing w:line="360" w:lineRule="auto"/>
        <w:ind w:firstLine="480" w:firstLineChars="200"/>
        <w:rPr>
          <w:rFonts w:eastAsia="仿宋_GB2312"/>
          <w:color w:val="auto"/>
          <w:sz w:val="24"/>
        </w:rPr>
      </w:pPr>
      <w:r>
        <w:rPr>
          <w:rFonts w:eastAsia="仿宋_GB2312"/>
          <w:color w:val="auto"/>
          <w:sz w:val="24"/>
        </w:rPr>
        <w:t>3.素质要求（C）</w:t>
      </w:r>
    </w:p>
    <w:p>
      <w:pPr>
        <w:adjustRightInd w:val="0"/>
        <w:snapToGrid w:val="0"/>
        <w:spacing w:line="360" w:lineRule="auto"/>
        <w:ind w:firstLine="480" w:firstLineChars="200"/>
        <w:rPr>
          <w:rFonts w:eastAsia="仿宋_GB2312"/>
          <w:color w:val="auto"/>
          <w:sz w:val="24"/>
        </w:rPr>
      </w:pPr>
      <w:r>
        <w:rPr>
          <w:rFonts w:eastAsia="仿宋_GB2312"/>
          <w:color w:val="auto"/>
          <w:sz w:val="24"/>
        </w:rPr>
        <w:t>（C1）思想道德素质：热爱祖国，拥护中国共产党的领导，坚持马克思主义，掌握中国特色社会主义理论体系，牢固树立社会主义核心价值观和正确世界观、人生观，具有良好的思想品德修养；</w:t>
      </w:r>
    </w:p>
    <w:p>
      <w:pPr>
        <w:adjustRightInd w:val="0"/>
        <w:snapToGrid w:val="0"/>
        <w:spacing w:line="360" w:lineRule="auto"/>
        <w:ind w:firstLine="480" w:firstLineChars="200"/>
        <w:rPr>
          <w:rFonts w:eastAsia="仿宋_GB2312"/>
          <w:color w:val="auto"/>
          <w:sz w:val="24"/>
        </w:rPr>
      </w:pPr>
      <w:r>
        <w:rPr>
          <w:rFonts w:eastAsia="仿宋_GB2312"/>
          <w:color w:val="auto"/>
          <w:sz w:val="24"/>
        </w:rPr>
        <w:t>（C2）文化素质：具有良好的社会主义文化基础和修养；</w:t>
      </w:r>
    </w:p>
    <w:p>
      <w:pPr>
        <w:adjustRightInd w:val="0"/>
        <w:snapToGrid w:val="0"/>
        <w:spacing w:line="360" w:lineRule="auto"/>
        <w:ind w:firstLine="480" w:firstLineChars="200"/>
        <w:rPr>
          <w:rFonts w:eastAsia="仿宋_GB2312"/>
          <w:color w:val="auto"/>
          <w:sz w:val="24"/>
        </w:rPr>
      </w:pPr>
      <w:r>
        <w:rPr>
          <w:rFonts w:eastAsia="仿宋_GB2312"/>
          <w:color w:val="auto"/>
          <w:sz w:val="24"/>
        </w:rPr>
        <w:t>（C3）职业素质：具有良好的专业素养、职业道德和品质；</w:t>
      </w:r>
    </w:p>
    <w:p>
      <w:pPr>
        <w:adjustRightInd w:val="0"/>
        <w:snapToGrid w:val="0"/>
        <w:spacing w:line="360" w:lineRule="auto"/>
        <w:ind w:firstLine="480" w:firstLineChars="200"/>
        <w:rPr>
          <w:rFonts w:eastAsia="仿宋_GB2312"/>
          <w:color w:val="auto"/>
          <w:sz w:val="24"/>
        </w:rPr>
      </w:pPr>
      <w:r>
        <w:rPr>
          <w:rFonts w:eastAsia="仿宋_GB2312"/>
          <w:color w:val="auto"/>
          <w:sz w:val="24"/>
        </w:rPr>
        <w:t>（C4）</w:t>
      </w:r>
      <w:r>
        <w:rPr>
          <w:rFonts w:eastAsia="仿宋_GB2312"/>
          <w:color w:val="auto"/>
          <w:sz w:val="24"/>
        </w:rPr>
        <w:t>身心素质：具有良好的心理素质和健康的体魄。</w:t>
      </w:r>
    </w:p>
    <w:p>
      <w:pPr>
        <w:spacing w:before="120" w:beforeLines="50" w:after="120" w:afterLines="50" w:line="500" w:lineRule="exact"/>
        <w:jc w:val="center"/>
        <w:rPr>
          <w:rFonts w:eastAsia="黑体"/>
          <w:bCs/>
          <w:color w:val="auto"/>
          <w:sz w:val="28"/>
          <w:szCs w:val="28"/>
        </w:rPr>
      </w:pPr>
      <w:r>
        <w:rPr>
          <w:rFonts w:eastAsia="黑体"/>
          <w:bCs/>
          <w:color w:val="auto"/>
          <w:sz w:val="28"/>
          <w:szCs w:val="28"/>
        </w:rPr>
        <w:t>毕业要求对培养目标的支撑矩阵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9"/>
        <w:gridCol w:w="2126"/>
        <w:gridCol w:w="2172"/>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毕业要求</w:t>
            </w:r>
          </w:p>
        </w:tc>
        <w:tc>
          <w:tcPr>
            <w:tcW w:w="1158"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目标1</w:t>
            </w:r>
            <w:r>
              <w:rPr>
                <w:rFonts w:hint="eastAsia" w:eastAsia="仿宋_GB2312"/>
                <w:b/>
                <w:color w:val="auto"/>
                <w:szCs w:val="21"/>
              </w:rPr>
              <w:t>：职业素养</w:t>
            </w:r>
          </w:p>
        </w:tc>
        <w:tc>
          <w:tcPr>
            <w:tcW w:w="1183"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目标2</w:t>
            </w:r>
            <w:r>
              <w:rPr>
                <w:rFonts w:hint="eastAsia" w:eastAsia="仿宋_GB2312"/>
                <w:b/>
                <w:color w:val="auto"/>
                <w:szCs w:val="21"/>
              </w:rPr>
              <w:t>：创新能力</w:t>
            </w:r>
          </w:p>
        </w:tc>
        <w:tc>
          <w:tcPr>
            <w:tcW w:w="120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目标3</w:t>
            </w:r>
            <w:r>
              <w:rPr>
                <w:rFonts w:hint="eastAsia" w:eastAsia="仿宋_GB2312"/>
                <w:b/>
                <w:color w:val="auto"/>
                <w:szCs w:val="21"/>
              </w:rPr>
              <w:t>：学习能力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w:t>
            </w:r>
          </w:p>
          <w:p>
            <w:pPr>
              <w:spacing w:line="320" w:lineRule="exact"/>
              <w:jc w:val="center"/>
              <w:rPr>
                <w:rFonts w:eastAsia="仿宋_GB2312"/>
                <w:color w:val="auto"/>
                <w:szCs w:val="21"/>
              </w:rPr>
            </w:pPr>
            <w:r>
              <w:rPr>
                <w:rFonts w:hint="eastAsia" w:eastAsia="仿宋_GB2312"/>
                <w:color w:val="auto"/>
                <w:szCs w:val="21"/>
              </w:rPr>
              <w:t>人文知识</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b/>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毕业要求2：</w:t>
            </w:r>
          </w:p>
          <w:p>
            <w:pPr>
              <w:spacing w:line="320" w:lineRule="exact"/>
              <w:jc w:val="center"/>
              <w:rPr>
                <w:rFonts w:eastAsia="仿宋_GB2312"/>
                <w:color w:val="auto"/>
                <w:szCs w:val="21"/>
              </w:rPr>
            </w:pPr>
            <w:r>
              <w:rPr>
                <w:rFonts w:hint="eastAsia" w:eastAsia="仿宋_GB2312"/>
                <w:color w:val="auto"/>
                <w:szCs w:val="21"/>
              </w:rPr>
              <w:t>经济管理知识</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毕业要求3：</w:t>
            </w:r>
          </w:p>
          <w:p>
            <w:pPr>
              <w:spacing w:line="320" w:lineRule="exact"/>
              <w:jc w:val="center"/>
              <w:rPr>
                <w:rFonts w:eastAsia="仿宋_GB2312"/>
                <w:color w:val="auto"/>
                <w:szCs w:val="21"/>
              </w:rPr>
            </w:pPr>
            <w:r>
              <w:rPr>
                <w:rFonts w:hint="eastAsia" w:eastAsia="仿宋_GB2312"/>
                <w:color w:val="auto"/>
                <w:szCs w:val="21"/>
              </w:rPr>
              <w:t>专业知识</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毕业要求4：</w:t>
            </w:r>
          </w:p>
          <w:p>
            <w:pPr>
              <w:spacing w:line="320" w:lineRule="exact"/>
              <w:jc w:val="center"/>
              <w:rPr>
                <w:rFonts w:eastAsia="仿宋_GB2312"/>
                <w:color w:val="auto"/>
                <w:szCs w:val="21"/>
              </w:rPr>
            </w:pPr>
            <w:r>
              <w:rPr>
                <w:rFonts w:hint="eastAsia" w:eastAsia="仿宋_GB2312"/>
                <w:color w:val="auto"/>
                <w:szCs w:val="21"/>
              </w:rPr>
              <w:t>专业综合知识</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毕业要求5：</w:t>
            </w:r>
          </w:p>
          <w:p>
            <w:pPr>
              <w:spacing w:line="320" w:lineRule="exact"/>
              <w:jc w:val="center"/>
              <w:rPr>
                <w:rFonts w:eastAsia="仿宋_GB2312"/>
                <w:color w:val="auto"/>
                <w:szCs w:val="21"/>
              </w:rPr>
            </w:pPr>
            <w:r>
              <w:rPr>
                <w:rFonts w:hint="eastAsia" w:eastAsia="仿宋_GB2312"/>
                <w:color w:val="auto"/>
                <w:szCs w:val="21"/>
              </w:rPr>
              <w:t>知识获取能力</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毕业要求6：</w:t>
            </w:r>
          </w:p>
          <w:p>
            <w:pPr>
              <w:spacing w:line="320" w:lineRule="exact"/>
              <w:jc w:val="center"/>
              <w:rPr>
                <w:rFonts w:eastAsia="仿宋_GB2312"/>
                <w:color w:val="auto"/>
                <w:szCs w:val="21"/>
              </w:rPr>
            </w:pPr>
            <w:r>
              <w:rPr>
                <w:rFonts w:hint="eastAsia" w:eastAsia="仿宋_GB2312"/>
                <w:color w:val="auto"/>
                <w:szCs w:val="21"/>
              </w:rPr>
              <w:t>知识应用能力</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毕业要求7：</w:t>
            </w:r>
          </w:p>
          <w:p>
            <w:pPr>
              <w:spacing w:line="320" w:lineRule="exact"/>
              <w:jc w:val="center"/>
              <w:rPr>
                <w:rFonts w:eastAsia="仿宋_GB2312"/>
                <w:color w:val="auto"/>
                <w:szCs w:val="21"/>
              </w:rPr>
            </w:pPr>
            <w:r>
              <w:rPr>
                <w:rFonts w:hint="eastAsia" w:eastAsia="仿宋_GB2312"/>
                <w:color w:val="auto"/>
                <w:szCs w:val="21"/>
              </w:rPr>
              <w:t>创新创业能力</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毕业要求8：</w:t>
            </w:r>
          </w:p>
          <w:p>
            <w:pPr>
              <w:spacing w:line="320" w:lineRule="exact"/>
              <w:jc w:val="center"/>
              <w:rPr>
                <w:rFonts w:eastAsia="仿宋_GB2312"/>
                <w:color w:val="auto"/>
                <w:szCs w:val="21"/>
              </w:rPr>
            </w:pPr>
            <w:r>
              <w:rPr>
                <w:rFonts w:hint="eastAsia" w:eastAsia="仿宋_GB2312"/>
                <w:color w:val="auto"/>
                <w:szCs w:val="21"/>
              </w:rPr>
              <w:t>沟通协调能力</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毕业要求9：</w:t>
            </w:r>
          </w:p>
          <w:p>
            <w:pPr>
              <w:spacing w:line="320" w:lineRule="exact"/>
              <w:jc w:val="center"/>
              <w:rPr>
                <w:rFonts w:eastAsia="仿宋_GB2312"/>
                <w:color w:val="auto"/>
                <w:szCs w:val="21"/>
              </w:rPr>
            </w:pPr>
            <w:r>
              <w:rPr>
                <w:rFonts w:hint="eastAsia" w:eastAsia="仿宋_GB2312"/>
                <w:color w:val="auto"/>
                <w:szCs w:val="21"/>
              </w:rPr>
              <w:t>思想道德素质</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毕业要10：</w:t>
            </w:r>
          </w:p>
          <w:p>
            <w:pPr>
              <w:spacing w:line="320" w:lineRule="exact"/>
              <w:jc w:val="center"/>
              <w:rPr>
                <w:rFonts w:eastAsia="仿宋_GB2312"/>
                <w:color w:val="auto"/>
                <w:szCs w:val="21"/>
              </w:rPr>
            </w:pPr>
            <w:r>
              <w:rPr>
                <w:rFonts w:hint="eastAsia" w:eastAsia="仿宋_GB2312"/>
                <w:color w:val="auto"/>
                <w:szCs w:val="21"/>
              </w:rPr>
              <w:t>文化素质</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w:t>
            </w:r>
            <w:r>
              <w:rPr>
                <w:rFonts w:hint="eastAsia" w:eastAsia="仿宋_GB2312"/>
                <w:color w:val="auto"/>
                <w:szCs w:val="21"/>
              </w:rPr>
              <w:t>11</w:t>
            </w:r>
            <w:r>
              <w:rPr>
                <w:rFonts w:eastAsia="仿宋_GB2312"/>
                <w:color w:val="auto"/>
                <w:szCs w:val="21"/>
              </w:rPr>
              <w:t>：</w:t>
            </w:r>
          </w:p>
          <w:p>
            <w:pPr>
              <w:spacing w:line="320" w:lineRule="exact"/>
              <w:jc w:val="center"/>
              <w:rPr>
                <w:rFonts w:eastAsia="仿宋_GB2312"/>
                <w:color w:val="auto"/>
                <w:szCs w:val="21"/>
              </w:rPr>
            </w:pPr>
            <w:r>
              <w:rPr>
                <w:rFonts w:hint="eastAsia" w:eastAsia="仿宋_GB2312"/>
                <w:color w:val="auto"/>
                <w:szCs w:val="21"/>
              </w:rPr>
              <w:t>职业素质</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毕业要1</w:t>
            </w:r>
            <w:r>
              <w:rPr>
                <w:rFonts w:hint="eastAsia" w:eastAsia="仿宋_GB2312"/>
                <w:color w:val="auto"/>
                <w:szCs w:val="21"/>
              </w:rPr>
              <w:t>2</w:t>
            </w:r>
            <w:r>
              <w:rPr>
                <w:rFonts w:eastAsia="仿宋_GB2312"/>
                <w:color w:val="auto"/>
                <w:szCs w:val="21"/>
              </w:rPr>
              <w:t>：</w:t>
            </w:r>
          </w:p>
          <w:p>
            <w:pPr>
              <w:spacing w:line="320" w:lineRule="exact"/>
              <w:jc w:val="center"/>
              <w:rPr>
                <w:rFonts w:eastAsia="仿宋_GB2312"/>
                <w:color w:val="auto"/>
                <w:szCs w:val="21"/>
              </w:rPr>
            </w:pPr>
            <w:r>
              <w:rPr>
                <w:rFonts w:hint="eastAsia" w:eastAsia="仿宋_GB2312"/>
                <w:color w:val="auto"/>
                <w:szCs w:val="21"/>
              </w:rPr>
              <w:t>身心素质</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r>
              <w:rPr>
                <w:bCs/>
                <w:color w:val="auto"/>
                <w:sz w:val="36"/>
                <w:szCs w:val="36"/>
              </w:rPr>
              <w:t>●</w:t>
            </w:r>
          </w:p>
        </w:tc>
        <w:tc>
          <w:tcPr>
            <w:tcW w:w="1183"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c>
          <w:tcPr>
            <w:tcW w:w="120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color w:val="auto"/>
                <w:sz w:val="36"/>
                <w:szCs w:val="36"/>
              </w:rPr>
            </w:pPr>
          </w:p>
        </w:tc>
      </w:tr>
    </w:tbl>
    <w:p>
      <w:pPr>
        <w:adjustRightInd w:val="0"/>
        <w:snapToGrid w:val="0"/>
        <w:spacing w:before="120" w:beforeLines="50" w:line="360" w:lineRule="auto"/>
        <w:ind w:firstLine="482" w:firstLineChars="200"/>
        <w:rPr>
          <w:rFonts w:eastAsia="仿宋_GB2312"/>
          <w:b/>
          <w:color w:val="auto"/>
          <w:sz w:val="24"/>
        </w:rPr>
      </w:pPr>
      <w:r>
        <w:rPr>
          <w:rFonts w:eastAsia="仿宋_GB2312"/>
          <w:b/>
          <w:color w:val="auto"/>
          <w:sz w:val="24"/>
        </w:rPr>
        <w:t>（二）开设课程体系与培养要求的对应关系矩阵</w:t>
      </w:r>
    </w:p>
    <w:p>
      <w:pPr>
        <w:widowControl/>
        <w:adjustRightInd w:val="0"/>
        <w:snapToGrid w:val="0"/>
        <w:spacing w:after="120" w:afterLines="50" w:line="360" w:lineRule="auto"/>
        <w:jc w:val="center"/>
        <w:rPr>
          <w:rFonts w:eastAsia="黑体"/>
          <w:bCs/>
          <w:color w:val="auto"/>
          <w:sz w:val="28"/>
          <w:szCs w:val="28"/>
        </w:rPr>
      </w:pPr>
      <w:r>
        <w:rPr>
          <w:rFonts w:eastAsia="仿宋_GB2312"/>
          <w:bCs/>
          <w:color w:val="auto"/>
          <w:sz w:val="24"/>
        </w:rPr>
        <w:t>物流管理专业</w:t>
      </w:r>
      <w:r>
        <w:rPr>
          <w:rFonts w:hint="eastAsia" w:eastAsia="仿宋_GB2312"/>
          <w:bCs/>
          <w:color w:val="auto"/>
          <w:sz w:val="24"/>
        </w:rPr>
        <w:t>（3+2）</w:t>
      </w:r>
      <w:r>
        <w:rPr>
          <w:rFonts w:eastAsia="仿宋_GB2312"/>
          <w:bCs/>
          <w:color w:val="auto"/>
          <w:sz w:val="24"/>
        </w:rPr>
        <w:t>课程与毕业要求对应关系矩阵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5"/>
        <w:gridCol w:w="565"/>
        <w:gridCol w:w="457"/>
        <w:gridCol w:w="459"/>
        <w:gridCol w:w="519"/>
        <w:gridCol w:w="459"/>
        <w:gridCol w:w="459"/>
        <w:gridCol w:w="459"/>
        <w:gridCol w:w="470"/>
        <w:gridCol w:w="459"/>
        <w:gridCol w:w="459"/>
        <w:gridCol w:w="461"/>
        <w:gridCol w:w="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1090"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知识要求</w:t>
            </w:r>
          </w:p>
        </w:tc>
        <w:tc>
          <w:tcPr>
            <w:tcW w:w="1006"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能力要求</w:t>
            </w:r>
          </w:p>
        </w:tc>
        <w:tc>
          <w:tcPr>
            <w:tcW w:w="1019"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Merge w:val="continue"/>
            <w:vAlign w:val="center"/>
          </w:tcPr>
          <w:p>
            <w:pPr>
              <w:adjustRightInd w:val="0"/>
              <w:snapToGrid w:val="0"/>
              <w:spacing w:line="240" w:lineRule="exact"/>
              <w:jc w:val="center"/>
              <w:rPr>
                <w:rFonts w:eastAsia="仿宋_GB2312"/>
                <w:b/>
                <w:color w:val="auto"/>
                <w:sz w:val="18"/>
                <w:szCs w:val="18"/>
              </w:rPr>
            </w:pPr>
          </w:p>
        </w:tc>
        <w:tc>
          <w:tcPr>
            <w:tcW w:w="308"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 xml:space="preserve">A1 </w:t>
            </w:r>
          </w:p>
        </w:tc>
        <w:tc>
          <w:tcPr>
            <w:tcW w:w="249"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A2</w:t>
            </w:r>
          </w:p>
        </w:tc>
        <w:tc>
          <w:tcPr>
            <w:tcW w:w="250"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A3</w:t>
            </w:r>
          </w:p>
        </w:tc>
        <w:tc>
          <w:tcPr>
            <w:tcW w:w="282"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A4</w:t>
            </w:r>
          </w:p>
        </w:tc>
        <w:tc>
          <w:tcPr>
            <w:tcW w:w="250"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B1</w:t>
            </w:r>
          </w:p>
        </w:tc>
        <w:tc>
          <w:tcPr>
            <w:tcW w:w="250"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B2</w:t>
            </w:r>
          </w:p>
        </w:tc>
        <w:tc>
          <w:tcPr>
            <w:tcW w:w="250"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B3</w:t>
            </w:r>
          </w:p>
        </w:tc>
        <w:tc>
          <w:tcPr>
            <w:tcW w:w="256"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B4</w:t>
            </w:r>
          </w:p>
        </w:tc>
        <w:tc>
          <w:tcPr>
            <w:tcW w:w="250"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C1</w:t>
            </w:r>
          </w:p>
        </w:tc>
        <w:tc>
          <w:tcPr>
            <w:tcW w:w="250"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C2</w:t>
            </w:r>
          </w:p>
        </w:tc>
        <w:tc>
          <w:tcPr>
            <w:tcW w:w="251"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C3</w:t>
            </w:r>
          </w:p>
        </w:tc>
        <w:tc>
          <w:tcPr>
            <w:tcW w:w="268" w:type="pct"/>
            <w:vAlign w:val="center"/>
          </w:tcPr>
          <w:p>
            <w:pPr>
              <w:spacing w:line="240" w:lineRule="exact"/>
              <w:ind w:left="-51"/>
              <w:jc w:val="center"/>
              <w:rPr>
                <w:rFonts w:eastAsia="仿宋_GB2312"/>
                <w:b/>
                <w:color w:val="auto"/>
                <w:sz w:val="18"/>
                <w:szCs w:val="18"/>
              </w:rPr>
            </w:pPr>
            <w:r>
              <w:rPr>
                <w:rFonts w:eastAsia="仿宋_GB2312"/>
                <w:b/>
                <w:color w:val="auto"/>
                <w:sz w:val="18"/>
                <w:szCs w:val="18"/>
              </w:rPr>
              <w: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bCs/>
                <w:color w:val="auto"/>
                <w:kern w:val="0"/>
                <w:sz w:val="18"/>
                <w:szCs w:val="18"/>
              </w:rPr>
            </w:pPr>
            <w:r>
              <w:rPr>
                <w:rFonts w:eastAsia="仿宋_GB2312"/>
                <w:bCs/>
                <w:color w:val="auto"/>
                <w:sz w:val="18"/>
                <w:szCs w:val="18"/>
              </w:rPr>
              <w:t>马克思主义基本原理概论</w:t>
            </w:r>
          </w:p>
        </w:tc>
        <w:tc>
          <w:tcPr>
            <w:tcW w:w="308"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49" w:type="pct"/>
            <w:vAlign w:val="center"/>
          </w:tcPr>
          <w:p>
            <w:pPr>
              <w:widowControl/>
              <w:spacing w:line="240" w:lineRule="exact"/>
              <w:jc w:val="center"/>
              <w:rPr>
                <w:rFonts w:eastAsia="仿宋_GB2312"/>
                <w:bCs/>
                <w:color w:val="auto"/>
                <w:kern w:val="0"/>
                <w:sz w:val="18"/>
                <w:szCs w:val="18"/>
              </w:rPr>
            </w:pPr>
          </w:p>
        </w:tc>
        <w:tc>
          <w:tcPr>
            <w:tcW w:w="250" w:type="pct"/>
            <w:vAlign w:val="center"/>
          </w:tcPr>
          <w:p>
            <w:pPr>
              <w:widowControl/>
              <w:spacing w:line="240" w:lineRule="exact"/>
              <w:jc w:val="center"/>
              <w:rPr>
                <w:rFonts w:eastAsia="仿宋_GB2312"/>
                <w:bCs/>
                <w:color w:val="auto"/>
                <w:kern w:val="0"/>
                <w:sz w:val="18"/>
                <w:szCs w:val="18"/>
              </w:rPr>
            </w:pPr>
          </w:p>
        </w:tc>
        <w:tc>
          <w:tcPr>
            <w:tcW w:w="282" w:type="pct"/>
            <w:vAlign w:val="center"/>
          </w:tcPr>
          <w:p>
            <w:pPr>
              <w:widowControl/>
              <w:spacing w:line="240" w:lineRule="exact"/>
              <w:jc w:val="center"/>
              <w:rPr>
                <w:rFonts w:eastAsia="仿宋_GB2312"/>
                <w:bCs/>
                <w:color w:val="auto"/>
                <w:kern w:val="0"/>
                <w:sz w:val="18"/>
                <w:szCs w:val="18"/>
              </w:rPr>
            </w:pPr>
          </w:p>
        </w:tc>
        <w:tc>
          <w:tcPr>
            <w:tcW w:w="250" w:type="pct"/>
            <w:vAlign w:val="center"/>
          </w:tcPr>
          <w:p>
            <w:pPr>
              <w:widowControl/>
              <w:spacing w:line="240" w:lineRule="exact"/>
              <w:jc w:val="center"/>
              <w:rPr>
                <w:rFonts w:eastAsia="仿宋_GB2312"/>
                <w:bCs/>
                <w:color w:val="auto"/>
                <w:kern w:val="0"/>
                <w:sz w:val="18"/>
                <w:szCs w:val="18"/>
              </w:rPr>
            </w:pPr>
          </w:p>
        </w:tc>
        <w:tc>
          <w:tcPr>
            <w:tcW w:w="250" w:type="pct"/>
            <w:vAlign w:val="center"/>
          </w:tcPr>
          <w:p>
            <w:pPr>
              <w:widowControl/>
              <w:spacing w:line="240" w:lineRule="exact"/>
              <w:jc w:val="center"/>
              <w:rPr>
                <w:rFonts w:eastAsia="仿宋_GB2312"/>
                <w:bCs/>
                <w:color w:val="auto"/>
                <w:kern w:val="0"/>
                <w:sz w:val="18"/>
                <w:szCs w:val="18"/>
              </w:rPr>
            </w:pPr>
          </w:p>
        </w:tc>
        <w:tc>
          <w:tcPr>
            <w:tcW w:w="250" w:type="pct"/>
            <w:vAlign w:val="center"/>
          </w:tcPr>
          <w:p>
            <w:pPr>
              <w:widowControl/>
              <w:spacing w:line="240" w:lineRule="exact"/>
              <w:jc w:val="center"/>
              <w:rPr>
                <w:rFonts w:eastAsia="仿宋_GB2312"/>
                <w:bCs/>
                <w:color w:val="auto"/>
                <w:kern w:val="0"/>
                <w:sz w:val="18"/>
                <w:szCs w:val="18"/>
              </w:rPr>
            </w:pPr>
          </w:p>
        </w:tc>
        <w:tc>
          <w:tcPr>
            <w:tcW w:w="256" w:type="pct"/>
            <w:vAlign w:val="center"/>
          </w:tcPr>
          <w:p>
            <w:pPr>
              <w:widowControl/>
              <w:spacing w:line="240" w:lineRule="exact"/>
              <w:jc w:val="center"/>
              <w:rPr>
                <w:rFonts w:eastAsia="仿宋_GB2312"/>
                <w:bCs/>
                <w:color w:val="auto"/>
                <w:kern w:val="0"/>
                <w:sz w:val="18"/>
                <w:szCs w:val="18"/>
              </w:rPr>
            </w:pPr>
          </w:p>
        </w:tc>
        <w:tc>
          <w:tcPr>
            <w:tcW w:w="250"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50" w:type="pct"/>
            <w:vAlign w:val="center"/>
          </w:tcPr>
          <w:p>
            <w:pPr>
              <w:widowControl/>
              <w:spacing w:line="240" w:lineRule="exact"/>
              <w:jc w:val="center"/>
              <w:rPr>
                <w:rFonts w:eastAsia="仿宋_GB2312"/>
                <w:bCs/>
                <w:color w:val="auto"/>
                <w:kern w:val="0"/>
                <w:sz w:val="18"/>
                <w:szCs w:val="18"/>
              </w:rPr>
            </w:pPr>
            <w:r>
              <w:rPr>
                <w:rFonts w:eastAsia="仿宋_GB2312"/>
                <w:bCs/>
                <w:color w:val="auto"/>
                <w:kern w:val="0"/>
                <w:sz w:val="18"/>
                <w:szCs w:val="18"/>
              </w:rPr>
              <w:t>H</w:t>
            </w:r>
          </w:p>
        </w:tc>
        <w:tc>
          <w:tcPr>
            <w:tcW w:w="251" w:type="pct"/>
            <w:vAlign w:val="center"/>
          </w:tcPr>
          <w:p>
            <w:pPr>
              <w:widowControl/>
              <w:spacing w:line="240" w:lineRule="exact"/>
              <w:jc w:val="center"/>
              <w:rPr>
                <w:rFonts w:eastAsia="仿宋_GB2312"/>
                <w:bCs/>
                <w:color w:val="auto"/>
                <w:kern w:val="0"/>
                <w:sz w:val="18"/>
                <w:szCs w:val="18"/>
              </w:rPr>
            </w:pPr>
          </w:p>
        </w:tc>
        <w:tc>
          <w:tcPr>
            <w:tcW w:w="268" w:type="pct"/>
            <w:vAlign w:val="center"/>
          </w:tcPr>
          <w:p>
            <w:pPr>
              <w:widowControl/>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中国近现代史纲要</w:t>
            </w:r>
          </w:p>
        </w:tc>
        <w:tc>
          <w:tcPr>
            <w:tcW w:w="308"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49"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1" w:type="pct"/>
            <w:vAlign w:val="center"/>
          </w:tcPr>
          <w:p>
            <w:pPr>
              <w:widowControl/>
              <w:spacing w:line="240" w:lineRule="exact"/>
              <w:jc w:val="center"/>
              <w:rPr>
                <w:rFonts w:eastAsia="仿宋_GB2312"/>
                <w:color w:val="auto"/>
                <w:kern w:val="0"/>
                <w:sz w:val="18"/>
                <w:szCs w:val="18"/>
              </w:rPr>
            </w:pP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大学生职业生涯规划</w:t>
            </w:r>
          </w:p>
        </w:tc>
        <w:tc>
          <w:tcPr>
            <w:tcW w:w="308" w:type="pct"/>
            <w:vAlign w:val="center"/>
          </w:tcPr>
          <w:p>
            <w:pPr>
              <w:widowControl/>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1"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创业基础</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1" w:type="pct"/>
            <w:vAlign w:val="center"/>
          </w:tcPr>
          <w:p>
            <w:pPr>
              <w:widowControl/>
              <w:adjustRightInd w:val="0"/>
              <w:snapToGrid w:val="0"/>
              <w:spacing w:line="240" w:lineRule="exact"/>
              <w:jc w:val="center"/>
              <w:rPr>
                <w:rFonts w:eastAsia="仿宋_GB2312"/>
                <w:color w:val="auto"/>
                <w:kern w:val="0"/>
                <w:sz w:val="18"/>
                <w:szCs w:val="18"/>
              </w:rPr>
            </w:pP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物流管理专业导论</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6"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1"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经济学原理E</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6"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1"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bCs/>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883"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统计学原理C</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hint="eastAsia" w:eastAsia="仿宋_GB2312"/>
                <w:color w:val="auto"/>
                <w:kern w:val="0"/>
                <w:sz w:val="18"/>
                <w:szCs w:val="18"/>
                <w:lang w:val="en-US" w:eastAsia="zh-CN"/>
              </w:rPr>
            </w:pPr>
            <w:r>
              <w:rPr>
                <w:rFonts w:eastAsia="仿宋_GB2312"/>
                <w:bCs/>
                <w:color w:val="auto"/>
                <w:sz w:val="18"/>
                <w:szCs w:val="18"/>
              </w:rPr>
              <w:t>管理学</w:t>
            </w:r>
            <w:r>
              <w:rPr>
                <w:rFonts w:hint="eastAsia" w:eastAsia="仿宋_GB2312"/>
                <w:bCs/>
                <w:color w:val="auto"/>
                <w:sz w:val="18"/>
                <w:szCs w:val="18"/>
                <w:lang w:val="en-US" w:eastAsia="zh-CN"/>
              </w:rPr>
              <w:t>B</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管理运筹学</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管理信息系统A</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供应链管理</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物流系统仿真</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color w:val="auto"/>
                <w:kern w:val="0"/>
                <w:sz w:val="18"/>
                <w:szCs w:val="18"/>
              </w:rPr>
            </w:pPr>
            <w:r>
              <w:rPr>
                <w:rFonts w:eastAsia="仿宋_GB2312"/>
                <w:bCs/>
                <w:color w:val="auto"/>
                <w:sz w:val="18"/>
                <w:szCs w:val="18"/>
              </w:rPr>
              <w:t>物流信息系统</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农产品物流学A</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hint="eastAsia" w:eastAsia="仿宋_GB2312"/>
                <w:color w:val="auto"/>
                <w:kern w:val="0"/>
                <w:sz w:val="18"/>
                <w:szCs w:val="18"/>
                <w:lang w:eastAsia="zh-CN"/>
              </w:rPr>
            </w:pPr>
            <w:r>
              <w:rPr>
                <w:rFonts w:hint="eastAsia" w:eastAsia="仿宋_GB2312"/>
                <w:bCs/>
                <w:color w:val="auto"/>
                <w:sz w:val="18"/>
                <w:szCs w:val="18"/>
                <w:lang w:eastAsia="zh-CN"/>
              </w:rPr>
              <w:t>国际物流实务A</w:t>
            </w:r>
          </w:p>
        </w:tc>
        <w:tc>
          <w:tcPr>
            <w:tcW w:w="308" w:type="pct"/>
            <w:vAlign w:val="center"/>
          </w:tcPr>
          <w:p>
            <w:pPr>
              <w:widowControl/>
              <w:adjustRightInd w:val="0"/>
              <w:snapToGrid w:val="0"/>
              <w:spacing w:line="240" w:lineRule="exact"/>
              <w:jc w:val="center"/>
              <w:rPr>
                <w:rFonts w:eastAsia="仿宋_GB2312"/>
                <w:color w:val="auto"/>
                <w:kern w:val="0"/>
                <w:sz w:val="18"/>
                <w:szCs w:val="18"/>
              </w:rPr>
            </w:pPr>
          </w:p>
        </w:tc>
        <w:tc>
          <w:tcPr>
            <w:tcW w:w="249"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82" w:type="pct"/>
            <w:vAlign w:val="center"/>
          </w:tcPr>
          <w:p>
            <w:pPr>
              <w:widowControl/>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0" w:type="pct"/>
            <w:vAlign w:val="center"/>
          </w:tcPr>
          <w:p>
            <w:pPr>
              <w:widowControl/>
              <w:adjustRightInd w:val="0"/>
              <w:snapToGrid w:val="0"/>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adjustRightInd w:val="0"/>
              <w:snapToGrid w:val="0"/>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tc>
        <w:tc>
          <w:tcPr>
            <w:tcW w:w="308" w:type="pct"/>
            <w:vAlign w:val="center"/>
          </w:tcPr>
          <w:p>
            <w:pPr>
              <w:spacing w:line="240" w:lineRule="exact"/>
              <w:jc w:val="left"/>
              <w:rPr>
                <w:rFonts w:eastAsia="仿宋_GB2312"/>
                <w:bCs/>
                <w:color w:val="auto"/>
                <w:sz w:val="18"/>
                <w:szCs w:val="18"/>
              </w:rPr>
            </w:pPr>
          </w:p>
        </w:tc>
        <w:tc>
          <w:tcPr>
            <w:tcW w:w="249" w:type="pct"/>
            <w:vAlign w:val="center"/>
          </w:tcPr>
          <w:p>
            <w:pPr>
              <w:spacing w:line="240" w:lineRule="exact"/>
              <w:jc w:val="left"/>
              <w:rPr>
                <w:rFonts w:eastAsia="仿宋_GB2312"/>
                <w:bCs/>
                <w:color w:val="auto"/>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p>
        </w:tc>
        <w:tc>
          <w:tcPr>
            <w:tcW w:w="268"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tc>
        <w:tc>
          <w:tcPr>
            <w:tcW w:w="308" w:type="pct"/>
            <w:vAlign w:val="center"/>
          </w:tcPr>
          <w:p>
            <w:pPr>
              <w:spacing w:line="240" w:lineRule="exact"/>
              <w:jc w:val="left"/>
              <w:rPr>
                <w:rFonts w:eastAsia="仿宋_GB2312"/>
                <w:bCs/>
                <w:color w:val="auto"/>
                <w:sz w:val="18"/>
                <w:szCs w:val="18"/>
              </w:rPr>
            </w:pPr>
          </w:p>
        </w:tc>
        <w:tc>
          <w:tcPr>
            <w:tcW w:w="249" w:type="pct"/>
            <w:vAlign w:val="center"/>
          </w:tcPr>
          <w:p>
            <w:pPr>
              <w:widowControl/>
              <w:spacing w:line="240" w:lineRule="exact"/>
              <w:jc w:val="center"/>
              <w:rPr>
                <w:rFonts w:eastAsia="仿宋_GB2312"/>
                <w:bCs/>
                <w:color w:val="auto"/>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《创业基础》实践教学</w:t>
            </w:r>
          </w:p>
        </w:tc>
        <w:tc>
          <w:tcPr>
            <w:tcW w:w="308" w:type="pct"/>
            <w:vAlign w:val="center"/>
          </w:tcPr>
          <w:p>
            <w:pPr>
              <w:spacing w:line="240" w:lineRule="exact"/>
              <w:jc w:val="left"/>
              <w:rPr>
                <w:rFonts w:eastAsia="仿宋_GB2312"/>
                <w:bCs/>
                <w:color w:val="auto"/>
                <w:sz w:val="18"/>
                <w:szCs w:val="18"/>
              </w:rPr>
            </w:pPr>
          </w:p>
        </w:tc>
        <w:tc>
          <w:tcPr>
            <w:tcW w:w="249" w:type="pct"/>
            <w:vAlign w:val="center"/>
          </w:tcPr>
          <w:p>
            <w:pPr>
              <w:widowControl/>
              <w:spacing w:line="240" w:lineRule="exact"/>
              <w:jc w:val="center"/>
              <w:rPr>
                <w:rFonts w:eastAsia="仿宋_GB2312"/>
                <w:bCs/>
                <w:color w:val="auto"/>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spacing w:line="240" w:lineRule="exact"/>
              <w:jc w:val="left"/>
              <w:rPr>
                <w:rFonts w:eastAsia="仿宋_GB2312"/>
                <w:bCs/>
                <w:color w:val="auto"/>
                <w:sz w:val="18"/>
                <w:szCs w:val="18"/>
              </w:rPr>
            </w:pPr>
            <w:r>
              <w:rPr>
                <w:rFonts w:eastAsia="仿宋_GB2312"/>
                <w:bCs/>
                <w:color w:val="auto"/>
                <w:sz w:val="18"/>
                <w:szCs w:val="18"/>
              </w:rPr>
              <w:t>第二课堂实践</w:t>
            </w:r>
          </w:p>
        </w:tc>
        <w:tc>
          <w:tcPr>
            <w:tcW w:w="308" w:type="pct"/>
            <w:vAlign w:val="center"/>
          </w:tcPr>
          <w:p>
            <w:pPr>
              <w:spacing w:line="240" w:lineRule="exact"/>
              <w:jc w:val="left"/>
              <w:rPr>
                <w:rFonts w:eastAsia="仿宋_GB2312"/>
                <w:bCs/>
                <w:color w:val="auto"/>
                <w:sz w:val="18"/>
                <w:szCs w:val="18"/>
              </w:rPr>
            </w:pPr>
          </w:p>
        </w:tc>
        <w:tc>
          <w:tcPr>
            <w:tcW w:w="249" w:type="pct"/>
            <w:vAlign w:val="center"/>
          </w:tcPr>
          <w:p>
            <w:pPr>
              <w:widowControl/>
              <w:spacing w:line="240" w:lineRule="exact"/>
              <w:jc w:val="center"/>
              <w:rPr>
                <w:rFonts w:eastAsia="仿宋_GB2312"/>
                <w:bCs/>
                <w:color w:val="auto"/>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tc>
        <w:tc>
          <w:tcPr>
            <w:tcW w:w="308" w:type="pct"/>
            <w:vAlign w:val="center"/>
          </w:tcPr>
          <w:p>
            <w:pPr>
              <w:spacing w:line="240" w:lineRule="exact"/>
              <w:jc w:val="left"/>
              <w:rPr>
                <w:rFonts w:eastAsia="仿宋_GB2312"/>
                <w:bCs/>
                <w:color w:val="auto"/>
                <w:sz w:val="18"/>
                <w:szCs w:val="18"/>
              </w:rPr>
            </w:pPr>
          </w:p>
        </w:tc>
        <w:tc>
          <w:tcPr>
            <w:tcW w:w="249" w:type="pct"/>
            <w:vAlign w:val="center"/>
          </w:tcPr>
          <w:p>
            <w:pPr>
              <w:spacing w:line="240" w:lineRule="exact"/>
              <w:jc w:val="left"/>
              <w:rPr>
                <w:rFonts w:eastAsia="仿宋_GB2312"/>
                <w:bCs/>
                <w:color w:val="auto"/>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物流行业社会调查</w:t>
            </w:r>
          </w:p>
        </w:tc>
        <w:tc>
          <w:tcPr>
            <w:tcW w:w="308" w:type="pct"/>
            <w:vAlign w:val="center"/>
          </w:tcPr>
          <w:p>
            <w:pPr>
              <w:widowControl/>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物流管理专业（3+2）科研训练与课程论文</w:t>
            </w:r>
          </w:p>
        </w:tc>
        <w:tc>
          <w:tcPr>
            <w:tcW w:w="308" w:type="pct"/>
            <w:vAlign w:val="center"/>
          </w:tcPr>
          <w:p>
            <w:pPr>
              <w:spacing w:line="240" w:lineRule="exact"/>
              <w:jc w:val="left"/>
              <w:rPr>
                <w:rFonts w:eastAsia="仿宋_GB2312"/>
                <w:bCs/>
                <w:color w:val="auto"/>
                <w:sz w:val="18"/>
                <w:szCs w:val="18"/>
              </w:rPr>
            </w:pPr>
          </w:p>
        </w:tc>
        <w:tc>
          <w:tcPr>
            <w:tcW w:w="249" w:type="pct"/>
            <w:vAlign w:val="center"/>
          </w:tcPr>
          <w:p>
            <w:pPr>
              <w:widowControl/>
              <w:spacing w:line="240" w:lineRule="exact"/>
              <w:jc w:val="center"/>
              <w:rPr>
                <w:rFonts w:eastAsia="仿宋_GB2312"/>
                <w:bCs/>
                <w:color w:val="auto"/>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1" w:type="pct"/>
            <w:vAlign w:val="center"/>
          </w:tcPr>
          <w:p>
            <w:pPr>
              <w:widowControl/>
              <w:spacing w:line="240" w:lineRule="exact"/>
              <w:jc w:val="center"/>
              <w:rPr>
                <w:rFonts w:eastAsia="仿宋_GB2312"/>
                <w:color w:val="auto"/>
                <w:kern w:val="0"/>
                <w:sz w:val="18"/>
                <w:szCs w:val="18"/>
              </w:rPr>
            </w:pP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《物流系统仿真》课程设计</w:t>
            </w:r>
          </w:p>
        </w:tc>
        <w:tc>
          <w:tcPr>
            <w:tcW w:w="308" w:type="pct"/>
            <w:vAlign w:val="center"/>
          </w:tcPr>
          <w:p>
            <w:pPr>
              <w:spacing w:line="240" w:lineRule="exact"/>
              <w:jc w:val="left"/>
              <w:rPr>
                <w:rFonts w:eastAsia="仿宋_GB2312"/>
                <w:bCs/>
                <w:color w:val="auto"/>
                <w:sz w:val="18"/>
                <w:szCs w:val="18"/>
              </w:rPr>
            </w:pPr>
          </w:p>
        </w:tc>
        <w:tc>
          <w:tcPr>
            <w:tcW w:w="249" w:type="pct"/>
            <w:vAlign w:val="center"/>
          </w:tcPr>
          <w:p>
            <w:pPr>
              <w:widowControl/>
              <w:spacing w:line="240" w:lineRule="exact"/>
              <w:jc w:val="center"/>
              <w:rPr>
                <w:rFonts w:eastAsia="仿宋_GB2312"/>
                <w:bCs/>
                <w:color w:val="auto"/>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spacing w:line="240" w:lineRule="exact"/>
              <w:jc w:val="left"/>
              <w:rPr>
                <w:rFonts w:eastAsia="仿宋_GB2312"/>
                <w:bCs/>
                <w:color w:val="auto"/>
                <w:sz w:val="18"/>
                <w:szCs w:val="18"/>
              </w:rPr>
            </w:pPr>
            <w:r>
              <w:rPr>
                <w:rFonts w:eastAsia="仿宋_GB2312"/>
                <w:bCs/>
                <w:color w:val="auto"/>
                <w:sz w:val="18"/>
                <w:szCs w:val="18"/>
              </w:rPr>
              <w:t>电商物流综合仿真实训</w:t>
            </w:r>
          </w:p>
        </w:tc>
        <w:tc>
          <w:tcPr>
            <w:tcW w:w="308" w:type="pct"/>
            <w:vAlign w:val="center"/>
          </w:tcPr>
          <w:p>
            <w:pPr>
              <w:widowControl/>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b/>
                <w:bCs/>
                <w:color w:val="auto"/>
                <w:kern w:val="0"/>
                <w:sz w:val="18"/>
                <w:szCs w:val="18"/>
              </w:rPr>
            </w:pPr>
          </w:p>
        </w:tc>
        <w:tc>
          <w:tcPr>
            <w:tcW w:w="250" w:type="pct"/>
            <w:vAlign w:val="center"/>
          </w:tcPr>
          <w:p>
            <w:pPr>
              <w:widowControl/>
              <w:spacing w:line="240" w:lineRule="exact"/>
              <w:jc w:val="center"/>
              <w:rPr>
                <w:rFonts w:eastAsia="仿宋_GB2312"/>
                <w:b/>
                <w:bCs/>
                <w:color w:val="auto"/>
                <w:kern w:val="0"/>
                <w:sz w:val="18"/>
                <w:szCs w:val="18"/>
              </w:rPr>
            </w:pPr>
          </w:p>
        </w:tc>
        <w:tc>
          <w:tcPr>
            <w:tcW w:w="282" w:type="pct"/>
            <w:vAlign w:val="center"/>
          </w:tcPr>
          <w:p>
            <w:pPr>
              <w:widowControl/>
              <w:spacing w:line="240" w:lineRule="exact"/>
              <w:jc w:val="center"/>
              <w:rPr>
                <w:rFonts w:eastAsia="仿宋_GB2312"/>
                <w:b/>
                <w:bCs/>
                <w:color w:val="auto"/>
                <w:kern w:val="0"/>
                <w:sz w:val="18"/>
                <w:szCs w:val="18"/>
              </w:rPr>
            </w:pPr>
          </w:p>
        </w:tc>
        <w:tc>
          <w:tcPr>
            <w:tcW w:w="250" w:type="pct"/>
            <w:vAlign w:val="center"/>
          </w:tcPr>
          <w:p>
            <w:pPr>
              <w:widowControl/>
              <w:spacing w:line="240" w:lineRule="exact"/>
              <w:jc w:val="center"/>
              <w:rPr>
                <w:rFonts w:eastAsia="仿宋_GB2312"/>
                <w:b/>
                <w:bCs/>
                <w:color w:val="auto"/>
                <w:kern w:val="0"/>
                <w:sz w:val="18"/>
                <w:szCs w:val="18"/>
              </w:rPr>
            </w:pPr>
          </w:p>
        </w:tc>
        <w:tc>
          <w:tcPr>
            <w:tcW w:w="250" w:type="pct"/>
            <w:vAlign w:val="center"/>
          </w:tcPr>
          <w:p>
            <w:pPr>
              <w:widowControl/>
              <w:spacing w:line="240" w:lineRule="exact"/>
              <w:jc w:val="center"/>
              <w:rPr>
                <w:rFonts w:eastAsia="仿宋_GB2312"/>
                <w:b/>
                <w:bCs/>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b/>
                <w:bCs/>
                <w:color w:val="auto"/>
                <w:kern w:val="0"/>
                <w:sz w:val="18"/>
                <w:szCs w:val="18"/>
              </w:rPr>
            </w:pPr>
            <w:r>
              <w:rPr>
                <w:rFonts w:eastAsia="仿宋_GB2312"/>
                <w:color w:val="auto"/>
                <w:kern w:val="0"/>
                <w:sz w:val="18"/>
                <w:szCs w:val="18"/>
              </w:rPr>
              <w:t>H</w:t>
            </w:r>
          </w:p>
        </w:tc>
        <w:tc>
          <w:tcPr>
            <w:tcW w:w="256" w:type="pct"/>
            <w:vAlign w:val="center"/>
          </w:tcPr>
          <w:p>
            <w:pPr>
              <w:widowControl/>
              <w:spacing w:line="240" w:lineRule="exact"/>
              <w:jc w:val="center"/>
              <w:rPr>
                <w:rFonts w:eastAsia="仿宋_GB2312"/>
                <w:b/>
                <w:bCs/>
                <w:color w:val="auto"/>
                <w:kern w:val="0"/>
                <w:sz w:val="18"/>
                <w:szCs w:val="18"/>
              </w:rPr>
            </w:pPr>
          </w:p>
        </w:tc>
        <w:tc>
          <w:tcPr>
            <w:tcW w:w="250" w:type="pct"/>
            <w:vAlign w:val="center"/>
          </w:tcPr>
          <w:p>
            <w:pPr>
              <w:widowControl/>
              <w:spacing w:line="240" w:lineRule="exact"/>
              <w:jc w:val="center"/>
              <w:rPr>
                <w:rFonts w:eastAsia="仿宋_GB2312"/>
                <w:b/>
                <w:bCs/>
                <w:color w:val="auto"/>
                <w:kern w:val="0"/>
                <w:sz w:val="18"/>
                <w:szCs w:val="18"/>
              </w:rPr>
            </w:pPr>
          </w:p>
        </w:tc>
        <w:tc>
          <w:tcPr>
            <w:tcW w:w="250" w:type="pct"/>
            <w:vAlign w:val="center"/>
          </w:tcPr>
          <w:p>
            <w:pPr>
              <w:widowControl/>
              <w:spacing w:line="240" w:lineRule="exact"/>
              <w:jc w:val="center"/>
              <w:rPr>
                <w:rFonts w:eastAsia="仿宋_GB2312"/>
                <w:b/>
                <w:bCs/>
                <w:color w:val="auto"/>
                <w:kern w:val="0"/>
                <w:sz w:val="18"/>
                <w:szCs w:val="18"/>
              </w:rPr>
            </w:pPr>
          </w:p>
        </w:tc>
        <w:tc>
          <w:tcPr>
            <w:tcW w:w="251" w:type="pct"/>
            <w:vAlign w:val="center"/>
          </w:tcPr>
          <w:p>
            <w:pPr>
              <w:widowControl/>
              <w:spacing w:line="240" w:lineRule="exact"/>
              <w:jc w:val="center"/>
              <w:rPr>
                <w:rFonts w:eastAsia="仿宋_GB2312"/>
                <w:b/>
                <w:bCs/>
                <w:color w:val="auto"/>
                <w:kern w:val="0"/>
                <w:sz w:val="18"/>
                <w:szCs w:val="18"/>
              </w:rPr>
            </w:pPr>
          </w:p>
        </w:tc>
        <w:tc>
          <w:tcPr>
            <w:tcW w:w="268" w:type="pct"/>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物流管理专业（3+2）毕业实习（含劳动实践）</w:t>
            </w:r>
          </w:p>
        </w:tc>
        <w:tc>
          <w:tcPr>
            <w:tcW w:w="308" w:type="pct"/>
            <w:vAlign w:val="center"/>
          </w:tcPr>
          <w:p>
            <w:pPr>
              <w:widowControl/>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8" w:type="pct"/>
            <w:vAlign w:val="center"/>
          </w:tcPr>
          <w:p>
            <w:pPr>
              <w:widowControl/>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83" w:type="pct"/>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物流管理专业（3+2）毕业论文（设计）</w:t>
            </w:r>
          </w:p>
        </w:tc>
        <w:tc>
          <w:tcPr>
            <w:tcW w:w="308" w:type="pct"/>
            <w:vAlign w:val="center"/>
          </w:tcPr>
          <w:p>
            <w:pPr>
              <w:widowControl/>
              <w:spacing w:line="240" w:lineRule="exact"/>
              <w:jc w:val="center"/>
              <w:rPr>
                <w:rFonts w:eastAsia="仿宋_GB2312"/>
                <w:color w:val="auto"/>
                <w:kern w:val="0"/>
                <w:sz w:val="18"/>
                <w:szCs w:val="18"/>
              </w:rPr>
            </w:pPr>
          </w:p>
        </w:tc>
        <w:tc>
          <w:tcPr>
            <w:tcW w:w="249"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82"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r>
              <w:rPr>
                <w:rFonts w:eastAsia="仿宋_GB2312"/>
                <w:color w:val="auto"/>
                <w:kern w:val="0"/>
                <w:sz w:val="18"/>
                <w:szCs w:val="18"/>
              </w:rPr>
              <w:t>H</w:t>
            </w:r>
          </w:p>
        </w:tc>
        <w:tc>
          <w:tcPr>
            <w:tcW w:w="250" w:type="pct"/>
            <w:vAlign w:val="center"/>
          </w:tcPr>
          <w:p>
            <w:pPr>
              <w:widowControl/>
              <w:spacing w:line="240" w:lineRule="exact"/>
              <w:jc w:val="center"/>
              <w:rPr>
                <w:rFonts w:eastAsia="仿宋_GB2312"/>
                <w:color w:val="auto"/>
                <w:kern w:val="0"/>
                <w:sz w:val="18"/>
                <w:szCs w:val="18"/>
              </w:rPr>
            </w:pPr>
          </w:p>
        </w:tc>
        <w:tc>
          <w:tcPr>
            <w:tcW w:w="256"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0" w:type="pct"/>
            <w:vAlign w:val="center"/>
          </w:tcPr>
          <w:p>
            <w:pPr>
              <w:widowControl/>
              <w:spacing w:line="240" w:lineRule="exact"/>
              <w:jc w:val="center"/>
              <w:rPr>
                <w:rFonts w:eastAsia="仿宋_GB2312"/>
                <w:color w:val="auto"/>
                <w:kern w:val="0"/>
                <w:sz w:val="18"/>
                <w:szCs w:val="18"/>
              </w:rPr>
            </w:pPr>
          </w:p>
        </w:tc>
        <w:tc>
          <w:tcPr>
            <w:tcW w:w="251" w:type="pct"/>
            <w:vAlign w:val="center"/>
          </w:tcPr>
          <w:p>
            <w:pPr>
              <w:widowControl/>
              <w:spacing w:line="240" w:lineRule="exact"/>
              <w:jc w:val="center"/>
              <w:rPr>
                <w:rFonts w:eastAsia="仿宋_GB2312"/>
                <w:color w:val="auto"/>
                <w:kern w:val="0"/>
                <w:sz w:val="18"/>
                <w:szCs w:val="18"/>
              </w:rPr>
            </w:pPr>
            <w:r>
              <w:rPr>
                <w:rFonts w:hint="eastAsia" w:eastAsia="仿宋_GB2312"/>
                <w:color w:val="auto"/>
                <w:kern w:val="0"/>
                <w:sz w:val="18"/>
                <w:szCs w:val="18"/>
              </w:rPr>
              <w:t>H</w:t>
            </w:r>
          </w:p>
        </w:tc>
        <w:tc>
          <w:tcPr>
            <w:tcW w:w="268" w:type="pct"/>
            <w:vAlign w:val="center"/>
          </w:tcPr>
          <w:p>
            <w:pPr>
              <w:widowControl/>
              <w:spacing w:line="240" w:lineRule="exact"/>
              <w:jc w:val="center"/>
              <w:rPr>
                <w:rFonts w:eastAsia="仿宋_GB2312"/>
                <w:color w:val="auto"/>
                <w:kern w:val="0"/>
                <w:sz w:val="18"/>
                <w:szCs w:val="18"/>
              </w:rPr>
            </w:pPr>
          </w:p>
        </w:tc>
      </w:tr>
    </w:tbl>
    <w:p>
      <w:pPr>
        <w:adjustRightInd w:val="0"/>
        <w:spacing w:before="240" w:beforeLines="100" w:line="360" w:lineRule="auto"/>
        <w:ind w:firstLine="560" w:firstLineChars="200"/>
        <w:rPr>
          <w:rFonts w:eastAsia="黑体"/>
          <w:bCs/>
          <w:color w:val="auto"/>
          <w:sz w:val="28"/>
          <w:szCs w:val="28"/>
        </w:rPr>
      </w:pPr>
      <w:r>
        <w:rPr>
          <w:rFonts w:eastAsia="黑体"/>
          <w:bCs/>
          <w:color w:val="auto"/>
          <w:sz w:val="28"/>
          <w:szCs w:val="28"/>
        </w:rPr>
        <w:t>四、课程设置</w:t>
      </w:r>
    </w:p>
    <w:p>
      <w:pPr>
        <w:adjustRightInd w:val="0"/>
        <w:spacing w:line="360" w:lineRule="auto"/>
        <w:ind w:firstLine="482" w:firstLineChars="200"/>
        <w:rPr>
          <w:rFonts w:eastAsia="楷体_GB2312"/>
          <w:b/>
          <w:color w:val="auto"/>
          <w:sz w:val="24"/>
        </w:rPr>
      </w:pPr>
      <w:r>
        <w:rPr>
          <w:rFonts w:eastAsia="楷体_GB2312"/>
          <w:b/>
          <w:color w:val="auto"/>
          <w:sz w:val="24"/>
        </w:rPr>
        <w:t>（一）主干学科</w:t>
      </w:r>
    </w:p>
    <w:p>
      <w:pPr>
        <w:adjustRightInd w:val="0"/>
        <w:spacing w:line="360" w:lineRule="auto"/>
        <w:ind w:firstLine="480" w:firstLineChars="200"/>
        <w:rPr>
          <w:rFonts w:eastAsia="仿宋_GB2312"/>
          <w:color w:val="auto"/>
          <w:sz w:val="24"/>
        </w:rPr>
      </w:pPr>
      <w:r>
        <w:rPr>
          <w:rFonts w:hint="eastAsia" w:eastAsia="仿宋_GB2312"/>
          <w:color w:val="auto"/>
          <w:sz w:val="24"/>
        </w:rPr>
        <w:t>物流管理与工程、</w:t>
      </w:r>
      <w:r>
        <w:rPr>
          <w:rFonts w:eastAsia="仿宋_GB2312"/>
          <w:color w:val="auto"/>
          <w:sz w:val="24"/>
        </w:rPr>
        <w:t>物流管理</w:t>
      </w:r>
    </w:p>
    <w:p>
      <w:pPr>
        <w:adjustRightInd w:val="0"/>
        <w:spacing w:line="360" w:lineRule="auto"/>
        <w:ind w:firstLine="482" w:firstLineChars="200"/>
        <w:rPr>
          <w:rFonts w:eastAsia="楷体_GB2312"/>
          <w:b/>
          <w:color w:val="auto"/>
          <w:sz w:val="24"/>
        </w:rPr>
      </w:pPr>
      <w:r>
        <w:rPr>
          <w:rFonts w:eastAsia="楷体_GB2312"/>
          <w:b/>
          <w:color w:val="auto"/>
          <w:sz w:val="24"/>
        </w:rPr>
        <w:t>（二）核心课程及主要实践性教学环节</w:t>
      </w:r>
    </w:p>
    <w:p>
      <w:pPr>
        <w:adjustRightInd w:val="0"/>
        <w:spacing w:line="360" w:lineRule="auto"/>
        <w:ind w:firstLine="480" w:firstLineChars="200"/>
        <w:rPr>
          <w:rFonts w:eastAsia="仿宋_GB2312"/>
          <w:color w:val="auto"/>
          <w:sz w:val="24"/>
        </w:rPr>
      </w:pPr>
      <w:r>
        <w:rPr>
          <w:rFonts w:eastAsia="仿宋_GB2312"/>
          <w:color w:val="auto"/>
          <w:sz w:val="24"/>
        </w:rPr>
        <w:t>专业</w:t>
      </w:r>
      <w:r>
        <w:rPr>
          <w:rFonts w:eastAsia="仿宋_GB2312"/>
          <w:color w:val="auto"/>
          <w:kern w:val="0"/>
          <w:sz w:val="24"/>
        </w:rPr>
        <w:t>核心课程：</w:t>
      </w:r>
      <w:r>
        <w:rPr>
          <w:rFonts w:hint="eastAsia" w:eastAsia="仿宋_GB2312"/>
          <w:color w:val="auto"/>
          <w:sz w:val="24"/>
        </w:rPr>
        <w:t>管理学</w:t>
      </w:r>
      <w:r>
        <w:rPr>
          <w:rFonts w:hint="eastAsia" w:eastAsia="仿宋_GB2312"/>
          <w:color w:val="auto"/>
          <w:sz w:val="24"/>
          <w:lang w:val="en-US" w:eastAsia="zh-CN"/>
        </w:rPr>
        <w:t>B</w:t>
      </w:r>
      <w:r>
        <w:rPr>
          <w:rFonts w:hint="eastAsia" w:eastAsia="仿宋_GB2312"/>
          <w:color w:val="auto"/>
          <w:sz w:val="24"/>
        </w:rPr>
        <w:t>、</w:t>
      </w:r>
      <w:r>
        <w:rPr>
          <w:rFonts w:hint="eastAsia" w:eastAsia="仿宋_GB2312"/>
          <w:color w:val="auto"/>
          <w:sz w:val="24"/>
          <w:lang w:eastAsia="zh-CN"/>
        </w:rPr>
        <w:t>经济学原理E</w:t>
      </w:r>
      <w:r>
        <w:rPr>
          <w:rFonts w:hint="eastAsia" w:eastAsia="仿宋_GB2312"/>
          <w:color w:val="auto"/>
          <w:sz w:val="24"/>
        </w:rPr>
        <w:t>、管理运筹学、供应链管理、物流系统仿真、企业资源计划、物流信息系统</w:t>
      </w:r>
    </w:p>
    <w:p>
      <w:pPr>
        <w:adjustRightInd w:val="0"/>
        <w:spacing w:line="360" w:lineRule="auto"/>
        <w:ind w:firstLine="480" w:firstLineChars="200"/>
        <w:rPr>
          <w:rFonts w:eastAsia="仿宋_GB2312"/>
          <w:color w:val="auto"/>
          <w:sz w:val="24"/>
        </w:rPr>
      </w:pPr>
      <w:r>
        <w:rPr>
          <w:rFonts w:hint="eastAsia" w:eastAsia="仿宋_GB2312"/>
          <w:color w:val="auto"/>
          <w:sz w:val="24"/>
        </w:rPr>
        <w:t>主要实践性教学环节：物流行业社会调查、《物流系统仿真》课程设计、电商物流综合仿真实训、物流管理专业（3+2）毕业实习（含劳动实践）、物流管理专业（3+2）毕业论文（设计）</w:t>
      </w:r>
    </w:p>
    <w:p>
      <w:pPr>
        <w:numPr>
          <w:ilvl w:val="0"/>
          <w:numId w:val="1"/>
        </w:numPr>
        <w:adjustRightInd w:val="0"/>
        <w:spacing w:line="360" w:lineRule="auto"/>
        <w:ind w:firstLine="482" w:firstLineChars="200"/>
        <w:rPr>
          <w:rFonts w:eastAsia="楷体_GB2312"/>
          <w:b/>
          <w:color w:val="auto"/>
          <w:sz w:val="28"/>
          <w:szCs w:val="28"/>
        </w:rPr>
      </w:pPr>
      <w:r>
        <w:rPr>
          <w:rFonts w:eastAsia="楷体_GB2312"/>
          <w:b/>
          <w:color w:val="auto"/>
          <w:sz w:val="24"/>
        </w:rPr>
        <w:t>课程体系及所占比例</w:t>
      </w:r>
    </w:p>
    <w:tbl>
      <w:tblPr>
        <w:tblStyle w:val="23"/>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1336"/>
        <w:gridCol w:w="2691"/>
        <w:gridCol w:w="820"/>
        <w:gridCol w:w="2033"/>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463" w:type="dxa"/>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2033"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1677"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16" w:type="dxa"/>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1336"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w:t>
            </w:r>
            <w:r>
              <w:rPr>
                <w:rFonts w:hint="eastAsia" w:eastAsia="仿宋_GB2312"/>
                <w:color w:val="auto"/>
                <w:szCs w:val="21"/>
              </w:rPr>
              <w:t>38</w:t>
            </w:r>
            <w:r>
              <w:rPr>
                <w:rFonts w:eastAsia="仿宋_GB2312"/>
                <w:color w:val="auto"/>
                <w:szCs w:val="21"/>
              </w:rPr>
              <w:t>学分）</w:t>
            </w:r>
          </w:p>
        </w:tc>
        <w:tc>
          <w:tcPr>
            <w:tcW w:w="2691"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820" w:type="dxa"/>
            <w:vAlign w:val="center"/>
          </w:tcPr>
          <w:p>
            <w:pPr>
              <w:widowControl/>
              <w:jc w:val="center"/>
              <w:textAlignment w:val="center"/>
              <w:rPr>
                <w:rFonts w:eastAsia="仿宋_GB2312"/>
                <w:color w:val="auto"/>
                <w:szCs w:val="21"/>
              </w:rPr>
            </w:pPr>
            <w:r>
              <w:rPr>
                <w:rFonts w:eastAsia="仿宋_GB2312"/>
                <w:color w:val="auto"/>
                <w:kern w:val="0"/>
                <w:szCs w:val="21"/>
              </w:rPr>
              <w:t>7.5</w:t>
            </w:r>
          </w:p>
        </w:tc>
        <w:tc>
          <w:tcPr>
            <w:tcW w:w="2033" w:type="dxa"/>
            <w:vAlign w:val="center"/>
          </w:tcPr>
          <w:p>
            <w:pPr>
              <w:widowControl/>
              <w:jc w:val="center"/>
              <w:textAlignment w:val="center"/>
              <w:rPr>
                <w:rFonts w:eastAsia="仿宋_GB2312"/>
                <w:color w:val="auto"/>
                <w:szCs w:val="21"/>
              </w:rPr>
            </w:pPr>
            <w:r>
              <w:rPr>
                <w:rFonts w:eastAsia="仿宋_GB2312"/>
                <w:color w:val="auto"/>
                <w:szCs w:val="21"/>
              </w:rPr>
              <w:t>15%</w:t>
            </w:r>
          </w:p>
        </w:tc>
        <w:tc>
          <w:tcPr>
            <w:tcW w:w="1677" w:type="dxa"/>
            <w:vMerge w:val="restart"/>
            <w:vAlign w:val="center"/>
          </w:tcPr>
          <w:p>
            <w:pPr>
              <w:widowControl/>
              <w:jc w:val="center"/>
              <w:textAlignment w:val="center"/>
              <w:rPr>
                <w:rFonts w:eastAsia="仿宋_GB2312"/>
                <w:color w:val="auto"/>
                <w:szCs w:val="21"/>
              </w:rPr>
            </w:pPr>
            <w:r>
              <w:rPr>
                <w:rFonts w:hint="eastAsia" w:eastAsia="仿宋_GB2312"/>
                <w:color w:val="auto"/>
                <w:szCs w:val="21"/>
              </w:rP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16" w:type="dxa"/>
            <w:vMerge w:val="continue"/>
            <w:vAlign w:val="center"/>
          </w:tcPr>
          <w:p>
            <w:pPr>
              <w:adjustRightInd w:val="0"/>
              <w:snapToGrid w:val="0"/>
              <w:jc w:val="center"/>
              <w:textAlignment w:val="center"/>
              <w:rPr>
                <w:rFonts w:eastAsia="仿宋_GB2312"/>
                <w:color w:val="auto"/>
                <w:szCs w:val="21"/>
              </w:rPr>
            </w:pPr>
          </w:p>
        </w:tc>
        <w:tc>
          <w:tcPr>
            <w:tcW w:w="1336" w:type="dxa"/>
            <w:vMerge w:val="continue"/>
            <w:vAlign w:val="center"/>
          </w:tcPr>
          <w:p>
            <w:pPr>
              <w:adjustRightInd w:val="0"/>
              <w:snapToGrid w:val="0"/>
              <w:jc w:val="center"/>
              <w:textAlignment w:val="center"/>
              <w:rPr>
                <w:rFonts w:eastAsia="仿宋_GB2312"/>
                <w:color w:val="auto"/>
                <w:szCs w:val="21"/>
              </w:rPr>
            </w:pPr>
          </w:p>
        </w:tc>
        <w:tc>
          <w:tcPr>
            <w:tcW w:w="2691" w:type="dxa"/>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820" w:type="dxa"/>
            <w:vAlign w:val="center"/>
          </w:tcPr>
          <w:p>
            <w:pPr>
              <w:widowControl/>
              <w:jc w:val="center"/>
              <w:textAlignment w:val="center"/>
              <w:rPr>
                <w:rFonts w:eastAsia="仿宋_GB2312"/>
                <w:color w:val="auto"/>
                <w:szCs w:val="21"/>
              </w:rPr>
            </w:pPr>
            <w:r>
              <w:rPr>
                <w:rFonts w:eastAsia="仿宋_GB2312"/>
                <w:color w:val="auto"/>
                <w:kern w:val="0"/>
                <w:szCs w:val="21"/>
              </w:rPr>
              <w:t>18</w:t>
            </w:r>
          </w:p>
        </w:tc>
        <w:tc>
          <w:tcPr>
            <w:tcW w:w="2033" w:type="dxa"/>
            <w:vAlign w:val="center"/>
          </w:tcPr>
          <w:p>
            <w:pPr>
              <w:widowControl/>
              <w:jc w:val="center"/>
              <w:textAlignment w:val="center"/>
              <w:rPr>
                <w:rFonts w:eastAsia="仿宋_GB2312"/>
                <w:color w:val="auto"/>
                <w:szCs w:val="21"/>
              </w:rPr>
            </w:pPr>
            <w:r>
              <w:rPr>
                <w:rFonts w:hint="eastAsia" w:eastAsia="仿宋_GB2312"/>
                <w:color w:val="auto"/>
                <w:szCs w:val="21"/>
              </w:rPr>
              <w:t>36</w:t>
            </w:r>
            <w:r>
              <w:rPr>
                <w:rFonts w:eastAsia="仿宋_GB2312"/>
                <w:color w:val="auto"/>
                <w:szCs w:val="21"/>
              </w:rPr>
              <w:t>%</w:t>
            </w:r>
          </w:p>
        </w:tc>
        <w:tc>
          <w:tcPr>
            <w:tcW w:w="1677" w:type="dxa"/>
            <w:vMerge w:val="continue"/>
            <w:vAlign w:val="center"/>
          </w:tcPr>
          <w:p>
            <w:pPr>
              <w:widowControl/>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616" w:type="dxa"/>
            <w:vMerge w:val="continue"/>
            <w:vAlign w:val="center"/>
          </w:tcPr>
          <w:p>
            <w:pPr>
              <w:adjustRightInd w:val="0"/>
              <w:snapToGrid w:val="0"/>
              <w:jc w:val="center"/>
              <w:textAlignment w:val="center"/>
              <w:rPr>
                <w:rFonts w:eastAsia="仿宋_GB2312"/>
                <w:color w:val="auto"/>
                <w:szCs w:val="21"/>
              </w:rPr>
            </w:pPr>
          </w:p>
        </w:tc>
        <w:tc>
          <w:tcPr>
            <w:tcW w:w="1336" w:type="dxa"/>
            <w:vMerge w:val="continue"/>
            <w:vAlign w:val="center"/>
          </w:tcPr>
          <w:p>
            <w:pPr>
              <w:adjustRightInd w:val="0"/>
              <w:snapToGrid w:val="0"/>
              <w:jc w:val="center"/>
              <w:textAlignment w:val="center"/>
              <w:rPr>
                <w:rFonts w:eastAsia="仿宋_GB2312"/>
                <w:color w:val="auto"/>
                <w:szCs w:val="21"/>
              </w:rPr>
            </w:pPr>
          </w:p>
        </w:tc>
        <w:tc>
          <w:tcPr>
            <w:tcW w:w="2691"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820" w:type="dxa"/>
            <w:vAlign w:val="center"/>
          </w:tcPr>
          <w:p>
            <w:pPr>
              <w:widowControl/>
              <w:jc w:val="center"/>
              <w:textAlignment w:val="center"/>
              <w:rPr>
                <w:rFonts w:eastAsia="仿宋_GB2312"/>
                <w:color w:val="auto"/>
                <w:szCs w:val="21"/>
              </w:rPr>
            </w:pPr>
            <w:r>
              <w:rPr>
                <w:rFonts w:hint="eastAsia" w:eastAsia="仿宋_GB2312"/>
                <w:color w:val="auto"/>
                <w:kern w:val="0"/>
                <w:szCs w:val="21"/>
              </w:rPr>
              <w:t>12.5</w:t>
            </w:r>
          </w:p>
        </w:tc>
        <w:tc>
          <w:tcPr>
            <w:tcW w:w="2033" w:type="dxa"/>
            <w:vAlign w:val="center"/>
          </w:tcPr>
          <w:p>
            <w:pPr>
              <w:widowControl/>
              <w:jc w:val="center"/>
              <w:textAlignment w:val="center"/>
              <w:rPr>
                <w:rFonts w:eastAsia="仿宋_GB2312"/>
                <w:color w:val="auto"/>
                <w:szCs w:val="21"/>
              </w:rPr>
            </w:pPr>
            <w:r>
              <w:rPr>
                <w:rFonts w:eastAsia="仿宋_GB2312"/>
                <w:color w:val="auto"/>
                <w:szCs w:val="21"/>
              </w:rPr>
              <w:t>2</w:t>
            </w:r>
            <w:r>
              <w:rPr>
                <w:rFonts w:hint="eastAsia" w:eastAsia="仿宋_GB2312"/>
                <w:color w:val="auto"/>
                <w:szCs w:val="21"/>
              </w:rPr>
              <w:t>5</w:t>
            </w:r>
            <w:r>
              <w:rPr>
                <w:rFonts w:eastAsia="仿宋_GB2312"/>
                <w:color w:val="auto"/>
                <w:szCs w:val="21"/>
              </w:rPr>
              <w:t>%</w:t>
            </w:r>
          </w:p>
        </w:tc>
        <w:tc>
          <w:tcPr>
            <w:tcW w:w="1677" w:type="dxa"/>
            <w:vMerge w:val="continue"/>
            <w:vAlign w:val="center"/>
          </w:tcPr>
          <w:p>
            <w:pPr>
              <w:widowControl/>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16" w:type="dxa"/>
            <w:vMerge w:val="continue"/>
            <w:vAlign w:val="center"/>
          </w:tcPr>
          <w:p>
            <w:pPr>
              <w:adjustRightInd w:val="0"/>
              <w:snapToGrid w:val="0"/>
              <w:jc w:val="center"/>
              <w:textAlignment w:val="center"/>
              <w:rPr>
                <w:rFonts w:eastAsia="仿宋_GB2312"/>
                <w:color w:val="auto"/>
                <w:szCs w:val="21"/>
              </w:rPr>
            </w:pPr>
          </w:p>
        </w:tc>
        <w:tc>
          <w:tcPr>
            <w:tcW w:w="1336" w:type="dxa"/>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（1</w:t>
            </w:r>
            <w:r>
              <w:rPr>
                <w:rFonts w:hint="eastAsia" w:eastAsia="仿宋_GB2312"/>
                <w:color w:val="auto"/>
                <w:szCs w:val="21"/>
              </w:rPr>
              <w:t>2</w:t>
            </w:r>
            <w:r>
              <w:rPr>
                <w:rFonts w:eastAsia="仿宋_GB2312"/>
                <w:color w:val="auto"/>
                <w:szCs w:val="21"/>
              </w:rPr>
              <w:t>学分）</w:t>
            </w:r>
          </w:p>
        </w:tc>
        <w:tc>
          <w:tcPr>
            <w:tcW w:w="2691"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820" w:type="dxa"/>
            <w:vAlign w:val="center"/>
          </w:tcPr>
          <w:p>
            <w:pPr>
              <w:widowControl/>
              <w:jc w:val="center"/>
              <w:textAlignment w:val="center"/>
              <w:rPr>
                <w:rFonts w:eastAsia="仿宋_GB2312"/>
                <w:color w:val="auto"/>
                <w:szCs w:val="21"/>
              </w:rPr>
            </w:pPr>
            <w:r>
              <w:rPr>
                <w:rFonts w:eastAsia="仿宋_GB2312"/>
                <w:color w:val="auto"/>
                <w:kern w:val="0"/>
                <w:szCs w:val="21"/>
              </w:rPr>
              <w:t>1</w:t>
            </w:r>
            <w:r>
              <w:rPr>
                <w:rFonts w:hint="eastAsia" w:eastAsia="仿宋_GB2312"/>
                <w:color w:val="auto"/>
                <w:kern w:val="0"/>
                <w:szCs w:val="21"/>
              </w:rPr>
              <w:t>2</w:t>
            </w:r>
          </w:p>
        </w:tc>
        <w:tc>
          <w:tcPr>
            <w:tcW w:w="2033" w:type="dxa"/>
            <w:vAlign w:val="center"/>
          </w:tcPr>
          <w:p>
            <w:pPr>
              <w:widowControl/>
              <w:jc w:val="center"/>
              <w:textAlignment w:val="center"/>
              <w:rPr>
                <w:rFonts w:eastAsia="仿宋_GB2312"/>
                <w:color w:val="auto"/>
                <w:szCs w:val="21"/>
              </w:rPr>
            </w:pPr>
            <w:r>
              <w:rPr>
                <w:rFonts w:eastAsia="仿宋_GB2312"/>
                <w:color w:val="auto"/>
                <w:szCs w:val="21"/>
              </w:rPr>
              <w:t>2</w:t>
            </w:r>
            <w:r>
              <w:rPr>
                <w:rFonts w:hint="eastAsia" w:eastAsia="仿宋_GB2312"/>
                <w:color w:val="auto"/>
                <w:szCs w:val="21"/>
              </w:rPr>
              <w:t>4</w:t>
            </w:r>
            <w:r>
              <w:rPr>
                <w:rFonts w:eastAsia="仿宋_GB2312"/>
                <w:color w:val="auto"/>
                <w:szCs w:val="21"/>
              </w:rPr>
              <w:t>%</w:t>
            </w:r>
          </w:p>
        </w:tc>
        <w:tc>
          <w:tcPr>
            <w:tcW w:w="1677" w:type="dxa"/>
            <w:vAlign w:val="center"/>
          </w:tcPr>
          <w:p>
            <w:pPr>
              <w:widowControl/>
              <w:jc w:val="center"/>
              <w:textAlignment w:val="center"/>
              <w:rPr>
                <w:rFonts w:eastAsia="仿宋_GB2312"/>
                <w:color w:val="auto"/>
                <w:szCs w:val="21"/>
              </w:rPr>
            </w:pPr>
            <w:r>
              <w:rPr>
                <w:rFonts w:hint="eastAsia" w:eastAsia="仿宋_GB2312"/>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643"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820" w:type="dxa"/>
            <w:vAlign w:val="center"/>
          </w:tcPr>
          <w:p>
            <w:pPr>
              <w:widowControl/>
              <w:jc w:val="center"/>
              <w:textAlignment w:val="center"/>
              <w:rPr>
                <w:rFonts w:eastAsia="仿宋_GB2312"/>
                <w:color w:val="auto"/>
                <w:szCs w:val="21"/>
              </w:rPr>
            </w:pPr>
            <w:r>
              <w:rPr>
                <w:rFonts w:hint="eastAsia" w:eastAsia="仿宋_GB2312"/>
                <w:color w:val="auto"/>
                <w:kern w:val="0"/>
                <w:szCs w:val="21"/>
              </w:rPr>
              <w:t>25</w:t>
            </w:r>
          </w:p>
        </w:tc>
        <w:tc>
          <w:tcPr>
            <w:tcW w:w="3710" w:type="dxa"/>
            <w:gridSpan w:val="2"/>
            <w:vAlign w:val="center"/>
          </w:tcPr>
          <w:p>
            <w:pPr>
              <w:widowControl/>
              <w:jc w:val="center"/>
              <w:textAlignment w:val="center"/>
              <w:rPr>
                <w:rFonts w:eastAsia="仿宋_GB2312"/>
                <w:color w:val="auto"/>
                <w:szCs w:val="21"/>
              </w:rPr>
            </w:pPr>
            <w:r>
              <w:rPr>
                <w:rFonts w:eastAsia="仿宋_GB2312"/>
                <w:color w:val="auto"/>
                <w:szCs w:val="21"/>
              </w:rPr>
              <w:t>33.</w:t>
            </w:r>
            <w:r>
              <w:rPr>
                <w:rFonts w:hint="eastAsia" w:eastAsia="仿宋_GB2312"/>
                <w:color w:val="auto"/>
                <w:szCs w:val="21"/>
              </w:rPr>
              <w:t>3</w:t>
            </w:r>
            <w:r>
              <w:rPr>
                <w:rFonts w:eastAsia="仿宋_GB2312"/>
                <w:color w:val="auto"/>
                <w:szCs w:val="21"/>
              </w:rPr>
              <w:t>%</w:t>
            </w:r>
            <w:r>
              <w:rPr>
                <w:rFonts w:hint="eastAsia" w:eastAsia="仿宋_GB2312"/>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643"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4530" w:type="dxa"/>
            <w:gridSpan w:val="3"/>
            <w:vAlign w:val="center"/>
          </w:tcPr>
          <w:p>
            <w:pPr>
              <w:widowControl/>
              <w:jc w:val="center"/>
              <w:textAlignment w:val="center"/>
              <w:rPr>
                <w:rFonts w:eastAsia="仿宋_GB2312"/>
                <w:color w:val="auto"/>
                <w:szCs w:val="21"/>
              </w:rPr>
            </w:pPr>
            <w:r>
              <w:rPr>
                <w:rFonts w:hint="eastAsia" w:eastAsia="仿宋_GB2312"/>
                <w:color w:val="auto"/>
                <w:szCs w:val="21"/>
              </w:rPr>
              <w:t>75</w:t>
            </w:r>
          </w:p>
        </w:tc>
      </w:tr>
    </w:tbl>
    <w:p>
      <w:pPr>
        <w:adjustRightInd w:val="0"/>
        <w:spacing w:before="120" w:beforeLines="50" w:line="52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20" w:lineRule="exact"/>
        <w:ind w:firstLine="480" w:firstLineChars="200"/>
        <w:rPr>
          <w:rFonts w:eastAsia="仿宋_GB2312"/>
          <w:color w:val="auto"/>
          <w:sz w:val="24"/>
        </w:rPr>
      </w:pPr>
      <w:r>
        <w:rPr>
          <w:rFonts w:eastAsia="仿宋_GB2312"/>
          <w:color w:val="auto"/>
          <w:sz w:val="24"/>
        </w:rPr>
        <w:t>学制：2年；修业年限：2-4年</w:t>
      </w:r>
    </w:p>
    <w:p>
      <w:pPr>
        <w:spacing w:line="520" w:lineRule="exact"/>
        <w:ind w:firstLine="480" w:firstLineChars="200"/>
        <w:rPr>
          <w:rFonts w:eastAsia="仿宋_GB2312"/>
          <w:color w:val="auto"/>
          <w:sz w:val="28"/>
          <w:szCs w:val="28"/>
        </w:rPr>
      </w:pPr>
      <w:r>
        <w:rPr>
          <w:rFonts w:eastAsia="仿宋_GB2312"/>
          <w:color w:val="auto"/>
          <w:sz w:val="24"/>
        </w:rPr>
        <w:t>授予学位：符合国家学位规定和青岛农业大学学位授予条件者，授予管理学学士学位</w:t>
      </w:r>
    </w:p>
    <w:p>
      <w:pPr>
        <w:adjustRightInd w:val="0"/>
        <w:spacing w:after="120" w:afterLines="50" w:line="52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1348"/>
        <w:gridCol w:w="671"/>
        <w:gridCol w:w="6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1"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735"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366"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3458" w:type="pct"/>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441" w:type="pc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735"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7.5</w:t>
            </w:r>
          </w:p>
        </w:tc>
        <w:tc>
          <w:tcPr>
            <w:tcW w:w="3458" w:type="pct"/>
            <w:vAlign w:val="center"/>
          </w:tcPr>
          <w:p>
            <w:pPr>
              <w:adjustRightInd w:val="0"/>
              <w:snapToGrid w:val="0"/>
              <w:spacing w:line="320" w:lineRule="exact"/>
              <w:jc w:val="left"/>
              <w:rPr>
                <w:rFonts w:eastAsia="仿宋_GB2312"/>
                <w:color w:val="auto"/>
                <w:szCs w:val="21"/>
              </w:rPr>
            </w:pPr>
            <w:r>
              <w:rPr>
                <w:rFonts w:hint="eastAsia" w:eastAsia="仿宋_GB2312"/>
                <w:color w:val="auto"/>
                <w:szCs w:val="21"/>
              </w:rPr>
              <w:t>马克思主义基本原理概论（3学分）、中国近现代史纲要（2.5学分）、体育（2学分）、大学生职业生涯规划（1学分）、创业基础（1学分）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1" w:type="pct"/>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735"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30.5</w:t>
            </w:r>
          </w:p>
        </w:tc>
        <w:tc>
          <w:tcPr>
            <w:tcW w:w="3458" w:type="pct"/>
            <w:vAlign w:val="center"/>
          </w:tcPr>
          <w:p>
            <w:pPr>
              <w:spacing w:line="320" w:lineRule="exact"/>
              <w:rPr>
                <w:rFonts w:eastAsia="仿宋_GB2312"/>
                <w:color w:val="auto"/>
                <w:szCs w:val="21"/>
              </w:rPr>
            </w:pPr>
            <w:r>
              <w:rPr>
                <w:rFonts w:hint="eastAsia" w:eastAsia="仿宋_GB2312"/>
                <w:color w:val="auto"/>
                <w:szCs w:val="21"/>
              </w:rPr>
              <w:t>物流管理专业导论（1学分）、</w:t>
            </w:r>
            <w:r>
              <w:rPr>
                <w:rFonts w:hint="eastAsia" w:eastAsia="仿宋_GB2312"/>
                <w:color w:val="auto"/>
                <w:szCs w:val="21"/>
                <w:lang w:eastAsia="zh-CN"/>
              </w:rPr>
              <w:t>统计学原理C</w:t>
            </w:r>
            <w:r>
              <w:rPr>
                <w:rFonts w:hint="eastAsia" w:eastAsia="仿宋_GB2312"/>
                <w:color w:val="auto"/>
                <w:szCs w:val="21"/>
              </w:rPr>
              <w:t>（3学分）、管理学</w:t>
            </w:r>
            <w:r>
              <w:rPr>
                <w:rFonts w:hint="eastAsia" w:eastAsia="仿宋_GB2312"/>
                <w:color w:val="auto"/>
                <w:szCs w:val="21"/>
                <w:lang w:val="en-US" w:eastAsia="zh-CN"/>
              </w:rPr>
              <w:t>B</w:t>
            </w:r>
            <w:r>
              <w:rPr>
                <w:rFonts w:hint="eastAsia" w:eastAsia="仿宋_GB2312"/>
                <w:color w:val="auto"/>
                <w:szCs w:val="21"/>
              </w:rPr>
              <w:t>（3学分）、管理运筹学（3学分）、</w:t>
            </w:r>
            <w:r>
              <w:rPr>
                <w:rFonts w:hint="eastAsia" w:eastAsia="仿宋_GB2312"/>
                <w:color w:val="auto"/>
                <w:szCs w:val="21"/>
                <w:lang w:eastAsia="zh-CN"/>
              </w:rPr>
              <w:t>经济学原理E</w:t>
            </w:r>
            <w:r>
              <w:rPr>
                <w:rFonts w:hint="eastAsia" w:eastAsia="仿宋_GB2312"/>
                <w:color w:val="auto"/>
                <w:szCs w:val="21"/>
              </w:rPr>
              <w:t>（2学分）、</w:t>
            </w:r>
            <w:r>
              <w:rPr>
                <w:rFonts w:hint="eastAsia" w:eastAsia="仿宋_GB2312"/>
                <w:color w:val="auto"/>
                <w:szCs w:val="21"/>
                <w:lang w:eastAsia="zh-CN"/>
              </w:rPr>
              <w:t>管理信息系统A</w:t>
            </w:r>
            <w:r>
              <w:rPr>
                <w:rFonts w:hint="eastAsia" w:eastAsia="仿宋_GB2312"/>
                <w:color w:val="auto"/>
                <w:szCs w:val="21"/>
              </w:rPr>
              <w:t>（3学分）、企业资源计划（3学分）、供应链管理（2.5学分）、物流系统仿真（2学分）、物流系统仿真实验（1学分）、</w:t>
            </w:r>
            <w:r>
              <w:rPr>
                <w:rFonts w:hint="eastAsia" w:eastAsia="仿宋_GB2312"/>
                <w:color w:val="auto"/>
                <w:szCs w:val="21"/>
                <w:lang w:eastAsia="zh-CN"/>
              </w:rPr>
              <w:t>农产品物流学A</w:t>
            </w:r>
            <w:r>
              <w:rPr>
                <w:rFonts w:hint="eastAsia" w:eastAsia="仿宋_GB2312"/>
                <w:color w:val="auto"/>
                <w:szCs w:val="21"/>
              </w:rPr>
              <w:t>（2学分）、物流信息系统（2.5学分）、</w:t>
            </w:r>
            <w:r>
              <w:rPr>
                <w:rFonts w:hint="eastAsia" w:eastAsia="仿宋_GB2312"/>
                <w:color w:val="auto"/>
                <w:szCs w:val="21"/>
                <w:lang w:eastAsia="zh-CN"/>
              </w:rPr>
              <w:t>国际物流实务A</w:t>
            </w:r>
            <w:r>
              <w:rPr>
                <w:rFonts w:hint="eastAsia" w:eastAsia="仿宋_GB2312"/>
                <w:color w:val="auto"/>
                <w:szCs w:val="21"/>
              </w:rPr>
              <w:t>（2.5学分）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1" w:type="pct"/>
            <w:vMerge w:val="continue"/>
            <w:vAlign w:val="center"/>
          </w:tcPr>
          <w:p>
            <w:pPr>
              <w:spacing w:line="320" w:lineRule="exact"/>
              <w:ind w:firstLine="29" w:firstLineChars="14"/>
              <w:jc w:val="center"/>
              <w:rPr>
                <w:rFonts w:eastAsia="仿宋_GB2312"/>
                <w:color w:val="auto"/>
                <w:szCs w:val="21"/>
              </w:rPr>
            </w:pPr>
          </w:p>
        </w:tc>
        <w:tc>
          <w:tcPr>
            <w:tcW w:w="735"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1</w:t>
            </w:r>
            <w:r>
              <w:rPr>
                <w:rFonts w:hint="eastAsia" w:eastAsia="仿宋_GB2312"/>
                <w:color w:val="auto"/>
                <w:szCs w:val="21"/>
              </w:rPr>
              <w:t>2</w:t>
            </w:r>
          </w:p>
        </w:tc>
        <w:tc>
          <w:tcPr>
            <w:tcW w:w="3458" w:type="pct"/>
            <w:vAlign w:val="center"/>
          </w:tcPr>
          <w:p>
            <w:pPr>
              <w:spacing w:line="320" w:lineRule="exact"/>
              <w:rPr>
                <w:rFonts w:eastAsia="仿宋_GB2312"/>
                <w:color w:val="auto"/>
                <w:szCs w:val="21"/>
              </w:rPr>
            </w:pPr>
            <w:r>
              <w:rPr>
                <w:rFonts w:hint="eastAsia" w:eastAsia="仿宋_GB2312"/>
                <w:color w:val="auto"/>
                <w:szCs w:val="21"/>
              </w:rPr>
              <w:t>农产品物流模块：最低选修4学分；</w:t>
            </w:r>
          </w:p>
          <w:p>
            <w:pPr>
              <w:spacing w:line="320" w:lineRule="exact"/>
              <w:rPr>
                <w:rFonts w:eastAsia="仿宋_GB2312"/>
                <w:color w:val="auto"/>
                <w:szCs w:val="21"/>
              </w:rPr>
            </w:pPr>
            <w:r>
              <w:rPr>
                <w:rFonts w:hint="eastAsia" w:eastAsia="仿宋_GB2312"/>
                <w:color w:val="auto"/>
                <w:szCs w:val="21"/>
              </w:rPr>
              <w:t>国际物流模块：最低选修4学分；</w:t>
            </w:r>
          </w:p>
          <w:p>
            <w:pPr>
              <w:spacing w:line="320" w:lineRule="exact"/>
              <w:rPr>
                <w:rFonts w:eastAsia="仿宋_GB2312"/>
                <w:color w:val="auto"/>
                <w:szCs w:val="21"/>
              </w:rPr>
            </w:pPr>
            <w:r>
              <w:rPr>
                <w:rFonts w:hint="eastAsia" w:eastAsia="仿宋_GB2312"/>
                <w:color w:val="auto"/>
                <w:szCs w:val="21"/>
              </w:rPr>
              <w:t>任选模块最低选修4学分。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1" w:type="pct"/>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735"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2</w:t>
            </w:r>
            <w:r>
              <w:rPr>
                <w:rFonts w:hint="eastAsia" w:eastAsia="仿宋_GB2312"/>
                <w:color w:val="auto"/>
                <w:szCs w:val="21"/>
              </w:rPr>
              <w:t>5</w:t>
            </w:r>
          </w:p>
        </w:tc>
        <w:tc>
          <w:tcPr>
            <w:tcW w:w="3458" w:type="pct"/>
            <w:vAlign w:val="center"/>
          </w:tcPr>
          <w:p>
            <w:pPr>
              <w:spacing w:line="320" w:lineRule="exact"/>
              <w:rPr>
                <w:rFonts w:eastAsia="仿宋_GB2312"/>
                <w:color w:val="auto"/>
                <w:szCs w:val="21"/>
              </w:rPr>
            </w:pPr>
            <w:r>
              <w:rPr>
                <w:rFonts w:hint="eastAsia" w:eastAsia="仿宋_GB2312"/>
                <w:color w:val="auto"/>
                <w:szCs w:val="21"/>
              </w:rPr>
              <w:t>入学教育、军训（含军事技能）（2学分）、《创业基础》实践（1学分）、第二课堂实践（1学分）、毕业教育（0学分）、大学生就业指导（1学分）、物流行业社会调查（2学分）、物流管理专业（3+2）科研训练与课程论文（2学分）、《物流系统仿真》课程设计（1学分）、电商物流综合仿真实训（5学分）、物流管理专业（3+2）毕业实习（含劳动实践）（4学分）、物流管理专业（3+2）毕业论文（设计）（6学分）</w:t>
            </w:r>
          </w:p>
        </w:tc>
      </w:tr>
    </w:tbl>
    <w:p>
      <w:pPr>
        <w:adjustRightInd w:val="0"/>
        <w:snapToGrid w:val="0"/>
        <w:spacing w:line="360" w:lineRule="exact"/>
        <w:rPr>
          <w:rFonts w:eastAsia="仿宋_GB2312"/>
          <w:bCs/>
          <w:color w:val="auto"/>
          <w:szCs w:val="21"/>
        </w:rPr>
      </w:pPr>
    </w:p>
    <w:p>
      <w:pPr>
        <w:adjustRightInd w:val="0"/>
        <w:spacing w:line="360" w:lineRule="auto"/>
        <w:ind w:firstLine="560" w:firstLineChars="200"/>
        <w:rPr>
          <w:rFonts w:eastAsia="黑体"/>
          <w:bCs/>
          <w:color w:val="auto"/>
          <w:sz w:val="28"/>
          <w:szCs w:val="28"/>
        </w:rPr>
      </w:pPr>
    </w:p>
    <w:p>
      <w:pPr>
        <w:rPr>
          <w:color w:val="auto"/>
        </w:rPr>
      </w:pPr>
    </w:p>
    <w:p>
      <w:pPr>
        <w:tabs>
          <w:tab w:val="left" w:pos="3161"/>
        </w:tabs>
        <w:jc w:val="left"/>
        <w:rPr>
          <w:color w:val="auto"/>
        </w:rPr>
        <w:sectPr>
          <w:footerReference r:id="rId3" w:type="default"/>
          <w:footerReference r:id="rId4" w:type="even"/>
          <w:pgSz w:w="11906" w:h="16838"/>
          <w:pgMar w:top="1531" w:right="1361" w:bottom="1021" w:left="1588" w:header="851" w:footer="1531" w:gutter="0"/>
          <w:pgNumType w:fmt="numberInDash" w:start="1"/>
          <w:cols w:space="720" w:num="1"/>
          <w:docGrid w:linePitch="312" w:charSpace="0"/>
        </w:sectPr>
      </w:pPr>
      <w:r>
        <w:rPr>
          <w:color w:val="auto"/>
        </w:rPr>
        <w:tab/>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560" w:firstLineChars="200"/>
        <w:rPr>
          <w:rFonts w:eastAsia="楷体_GB2312"/>
          <w:bCs/>
          <w:color w:val="auto"/>
          <w:sz w:val="28"/>
          <w:szCs w:val="28"/>
        </w:rPr>
      </w:pPr>
      <w:r>
        <w:rPr>
          <w:rFonts w:eastAsia="楷体_GB2312"/>
          <w:bCs/>
          <w:color w:val="auto"/>
          <w:sz w:val="28"/>
          <w:szCs w:val="28"/>
        </w:rPr>
        <w:t>（一）课内教学环节</w:t>
      </w:r>
    </w:p>
    <w:p>
      <w:pPr>
        <w:adjustRightInd w:val="0"/>
        <w:snapToGrid w:val="0"/>
        <w:spacing w:line="360" w:lineRule="auto"/>
        <w:rPr>
          <w:bCs/>
          <w:color w:val="auto"/>
          <w:szCs w:val="21"/>
        </w:rPr>
      </w:pPr>
      <w:r>
        <w:rPr>
          <w:rFonts w:eastAsia="黑体"/>
          <w:color w:val="auto"/>
          <w:kern w:val="0"/>
          <w:sz w:val="24"/>
        </w:rPr>
        <w:t>表</w:t>
      </w:r>
      <w:r>
        <w:rPr>
          <w:rFonts w:hint="eastAsia" w:ascii="宋体" w:hAnsi="宋体" w:cs="宋体"/>
          <w:color w:val="auto"/>
          <w:kern w:val="0"/>
          <w:sz w:val="24"/>
        </w:rPr>
        <w:t>Ⅰ</w:t>
      </w:r>
      <w:r>
        <w:rPr>
          <w:rFonts w:eastAsia="黑体"/>
          <w:color w:val="auto"/>
          <w:kern w:val="0"/>
          <w:sz w:val="24"/>
        </w:rPr>
        <w:t>必修</w:t>
      </w:r>
      <w:r>
        <w:rPr>
          <w:rFonts w:eastAsia="黑体"/>
          <w:bCs/>
          <w:color w:val="auto"/>
          <w:sz w:val="24"/>
        </w:rPr>
        <w:t>课课程设置与教学进程</w:t>
      </w:r>
      <w:r>
        <w:rPr>
          <w:rFonts w:eastAsia="黑体"/>
          <w:color w:val="auto"/>
          <w:kern w:val="0"/>
          <w:sz w:val="24"/>
        </w:rPr>
        <w:t>一览表</w:t>
      </w:r>
      <w:r>
        <w:rPr>
          <w:rFonts w:hint="eastAsia" w:eastAsia="黑体"/>
          <w:color w:val="auto"/>
          <w:kern w:val="0"/>
          <w:sz w:val="24"/>
        </w:rPr>
        <w:t xml:space="preserve">                                                           </w:t>
      </w:r>
      <w:r>
        <w:rPr>
          <w:rFonts w:eastAsia="黑体"/>
          <w:color w:val="auto"/>
          <w:kern w:val="0"/>
          <w:sz w:val="24"/>
        </w:rPr>
        <w:t>物流管理专业（3+2）</w:t>
      </w:r>
    </w:p>
    <w:tbl>
      <w:tblPr>
        <w:tblStyle w:val="23"/>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745"/>
        <w:gridCol w:w="358"/>
        <w:gridCol w:w="257"/>
        <w:gridCol w:w="3692"/>
        <w:gridCol w:w="796"/>
        <w:gridCol w:w="796"/>
        <w:gridCol w:w="796"/>
        <w:gridCol w:w="796"/>
        <w:gridCol w:w="804"/>
        <w:gridCol w:w="658"/>
        <w:gridCol w:w="658"/>
        <w:gridCol w:w="658"/>
        <w:gridCol w:w="672"/>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482" w:type="pct"/>
            <w:gridSpan w:val="3"/>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308" w:type="pct"/>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282" w:type="pct"/>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1131" w:type="pct"/>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学时</w:t>
            </w:r>
          </w:p>
        </w:tc>
        <w:tc>
          <w:tcPr>
            <w:tcW w:w="937" w:type="pct"/>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各学期学时分配</w:t>
            </w:r>
          </w:p>
        </w:tc>
        <w:tc>
          <w:tcPr>
            <w:tcW w:w="622" w:type="pct"/>
            <w:vMerge w:val="restar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482" w:type="pct"/>
            <w:gridSpan w:val="3"/>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308" w:type="pct"/>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282" w:type="pct"/>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28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一</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二</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三</w:t>
            </w:r>
          </w:p>
        </w:tc>
        <w:tc>
          <w:tcPr>
            <w:tcW w:w="23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四</w:t>
            </w:r>
          </w:p>
        </w:tc>
        <w:tc>
          <w:tcPr>
            <w:tcW w:w="622" w:type="pct"/>
            <w:vMerge w:val="continue"/>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通</w:t>
            </w:r>
          </w:p>
          <w:p>
            <w:pPr>
              <w:spacing w:line="240" w:lineRule="exact"/>
              <w:jc w:val="center"/>
              <w:rPr>
                <w:rFonts w:eastAsia="仿宋_GB2312"/>
                <w:b/>
                <w:color w:val="auto"/>
                <w:sz w:val="18"/>
                <w:szCs w:val="18"/>
              </w:rPr>
            </w:pPr>
            <w:r>
              <w:rPr>
                <w:rFonts w:eastAsia="仿宋_GB2312"/>
                <w:b/>
                <w:color w:val="auto"/>
                <w:sz w:val="18"/>
                <w:szCs w:val="18"/>
              </w:rPr>
              <w:t>识</w:t>
            </w:r>
          </w:p>
          <w:p>
            <w:pPr>
              <w:spacing w:line="240" w:lineRule="exact"/>
              <w:jc w:val="center"/>
              <w:rPr>
                <w:rFonts w:eastAsia="仿宋_GB2312"/>
                <w:b/>
                <w:color w:val="auto"/>
                <w:sz w:val="18"/>
                <w:szCs w:val="18"/>
              </w:rPr>
            </w:pPr>
            <w:r>
              <w:rPr>
                <w:rFonts w:eastAsia="仿宋_GB2312"/>
                <w:b/>
                <w:color w:val="auto"/>
                <w:sz w:val="18"/>
                <w:szCs w:val="18"/>
              </w:rPr>
              <w:t>课</w:t>
            </w:r>
          </w:p>
          <w:p>
            <w:pPr>
              <w:spacing w:line="240" w:lineRule="exact"/>
              <w:jc w:val="center"/>
              <w:rPr>
                <w:rFonts w:eastAsia="仿宋_GB2312"/>
                <w:b/>
                <w:color w:val="auto"/>
                <w:sz w:val="18"/>
                <w:szCs w:val="18"/>
              </w:rPr>
            </w:pPr>
            <w:r>
              <w:rPr>
                <w:rFonts w:eastAsia="仿宋_GB2312"/>
                <w:b/>
                <w:color w:val="auto"/>
                <w:sz w:val="18"/>
                <w:szCs w:val="18"/>
              </w:rPr>
              <w:t>程</w:t>
            </w:r>
          </w:p>
          <w:p>
            <w:pPr>
              <w:spacing w:line="240" w:lineRule="exact"/>
              <w:jc w:val="center"/>
              <w:rPr>
                <w:rFonts w:eastAsia="仿宋_GB2312"/>
                <w:b/>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1308"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1308"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1308"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大学生职业生涯规划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1308" w:type="pct"/>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790"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小计</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7.5</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120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120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0</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80</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40</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0</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0</w:t>
            </w: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left"/>
              <w:rPr>
                <w:rFonts w:eastAsia="仿宋_GB2312"/>
                <w:b/>
                <w:bCs w:val="0"/>
                <w:color w:val="auto"/>
                <w:sz w:val="18"/>
                <w:szCs w:val="18"/>
              </w:rPr>
            </w:pPr>
            <w:r>
              <w:rPr>
                <w:rFonts w:eastAsia="仿宋_GB2312"/>
                <w:b/>
                <w:bCs w:val="0"/>
                <w:color w:val="auto"/>
                <w:sz w:val="18"/>
                <w:szCs w:val="18"/>
              </w:rPr>
              <w:t>学科（专业）基础课</w:t>
            </w: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4050004</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物流管理专业导论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logistics management</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
                <w:bCs w:val="0"/>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4050264</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统计学原理C</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Statistics</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
                <w:bCs w:val="0"/>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4050009</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管理学</w:t>
            </w:r>
            <w:r>
              <w:rPr>
                <w:rFonts w:hint="eastAsia" w:eastAsia="仿宋_GB2312"/>
                <w:bCs/>
                <w:color w:val="auto"/>
                <w:sz w:val="18"/>
                <w:szCs w:val="18"/>
                <w:lang w:val="en-US" w:eastAsia="zh-CN"/>
              </w:rPr>
              <w:t>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Management</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
                <w:bCs w:val="0"/>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4050010</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管理运筹学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Management operation research</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
                <w:bCs w:val="0"/>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4050008</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经济学原理E</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Principle</w:t>
            </w:r>
            <w:r>
              <w:rPr>
                <w:rFonts w:hint="eastAsia" w:eastAsia="仿宋_GB2312"/>
                <w:bCs/>
                <w:color w:val="auto"/>
                <w:sz w:val="18"/>
                <w:szCs w:val="18"/>
              </w:rPr>
              <w:t xml:space="preserve">s of </w:t>
            </w:r>
            <w:r>
              <w:rPr>
                <w:rFonts w:eastAsia="仿宋_GB2312"/>
                <w:bCs/>
                <w:color w:val="auto"/>
                <w:sz w:val="18"/>
                <w:szCs w:val="18"/>
              </w:rPr>
              <w:t xml:space="preserve">Economy </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
                <w:bCs w:val="0"/>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4050357</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管理信息系统A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Management </w:t>
            </w:r>
            <w:r>
              <w:rPr>
                <w:rFonts w:hint="eastAsia" w:eastAsia="仿宋_GB2312"/>
                <w:bCs/>
                <w:color w:val="auto"/>
                <w:sz w:val="18"/>
                <w:szCs w:val="18"/>
              </w:rPr>
              <w:t xml:space="preserve">Information </w:t>
            </w:r>
            <w:r>
              <w:rPr>
                <w:rFonts w:eastAsia="仿宋_GB2312"/>
                <w:bCs/>
                <w:color w:val="auto"/>
                <w:sz w:val="18"/>
                <w:szCs w:val="18"/>
              </w:rPr>
              <w:t>System</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
                <w:bCs w:val="0"/>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4050358</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管理信息系统A</w:t>
            </w:r>
            <w:r>
              <w:rPr>
                <w:rFonts w:eastAsia="仿宋_GB2312"/>
                <w:bCs/>
                <w:color w:val="auto"/>
                <w:sz w:val="18"/>
                <w:szCs w:val="18"/>
              </w:rPr>
              <w:t>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Management </w:t>
            </w:r>
            <w:r>
              <w:rPr>
                <w:rFonts w:hint="eastAsia" w:eastAsia="仿宋_GB2312"/>
                <w:bCs/>
                <w:color w:val="auto"/>
                <w:sz w:val="18"/>
                <w:szCs w:val="18"/>
              </w:rPr>
              <w:t xml:space="preserve">Information </w:t>
            </w:r>
            <w:r>
              <w:rPr>
                <w:rFonts w:eastAsia="仿宋_GB2312"/>
                <w:bCs/>
                <w:color w:val="auto"/>
                <w:sz w:val="18"/>
                <w:szCs w:val="18"/>
              </w:rPr>
              <w:t>System experiment</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16</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
                <w:bCs w:val="0"/>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4050243</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企业资源计划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Enterprise Resources Planning </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bottom w:val="single" w:color="auto" w:sz="8" w:space="0"/>
              <w:right w:val="single" w:color="auto" w:sz="6" w:space="0"/>
            </w:tcBorders>
            <w:vAlign w:val="center"/>
          </w:tcPr>
          <w:p>
            <w:pPr>
              <w:spacing w:line="240" w:lineRule="exact"/>
              <w:jc w:val="center"/>
              <w:rPr>
                <w:rFonts w:eastAsia="仿宋_GB2312"/>
                <w:b/>
                <w:bCs w:val="0"/>
                <w:color w:val="auto"/>
                <w:sz w:val="18"/>
                <w:szCs w:val="18"/>
              </w:rPr>
            </w:pPr>
          </w:p>
        </w:tc>
        <w:tc>
          <w:tcPr>
            <w:tcW w:w="1790" w:type="pct"/>
            <w:gridSpan w:val="4"/>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bCs/>
                <w:color w:val="auto"/>
                <w:sz w:val="18"/>
                <w:szCs w:val="18"/>
              </w:rPr>
              <w:t>小计</w:t>
            </w:r>
          </w:p>
        </w:tc>
        <w:tc>
          <w:tcPr>
            <w:tcW w:w="28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b/>
                <w:color w:val="auto"/>
                <w:kern w:val="0"/>
                <w:sz w:val="18"/>
                <w:szCs w:val="18"/>
              </w:rPr>
              <w:t>18</w:t>
            </w:r>
          </w:p>
        </w:tc>
        <w:tc>
          <w:tcPr>
            <w:tcW w:w="28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b/>
                <w:color w:val="auto"/>
                <w:kern w:val="0"/>
                <w:sz w:val="18"/>
                <w:szCs w:val="18"/>
              </w:rPr>
              <w:t>288</w:t>
            </w:r>
          </w:p>
        </w:tc>
        <w:tc>
          <w:tcPr>
            <w:tcW w:w="28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b/>
                <w:color w:val="auto"/>
                <w:kern w:val="0"/>
                <w:sz w:val="18"/>
                <w:szCs w:val="18"/>
              </w:rPr>
              <w:t>232</w:t>
            </w:r>
          </w:p>
        </w:tc>
        <w:tc>
          <w:tcPr>
            <w:tcW w:w="282"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b/>
                <w:color w:val="auto"/>
                <w:kern w:val="0"/>
                <w:sz w:val="18"/>
                <w:szCs w:val="18"/>
              </w:rPr>
              <w:t>56</w:t>
            </w:r>
          </w:p>
        </w:tc>
        <w:tc>
          <w:tcPr>
            <w:tcW w:w="285"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b/>
                <w:color w:val="auto"/>
                <w:kern w:val="0"/>
                <w:sz w:val="18"/>
                <w:szCs w:val="18"/>
              </w:rPr>
              <w:t>0</w:t>
            </w:r>
          </w:p>
        </w:tc>
        <w:tc>
          <w:tcPr>
            <w:tcW w:w="23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b/>
                <w:color w:val="auto"/>
                <w:sz w:val="18"/>
                <w:szCs w:val="18"/>
              </w:rPr>
            </w:pPr>
            <w:r>
              <w:rPr>
                <w:b/>
                <w:color w:val="auto"/>
                <w:kern w:val="0"/>
                <w:sz w:val="18"/>
                <w:szCs w:val="18"/>
              </w:rPr>
              <w:t>1</w:t>
            </w:r>
            <w:r>
              <w:rPr>
                <w:rFonts w:hint="eastAsia"/>
                <w:b/>
                <w:color w:val="auto"/>
                <w:kern w:val="0"/>
                <w:sz w:val="18"/>
                <w:szCs w:val="18"/>
              </w:rPr>
              <w:t>44</w:t>
            </w:r>
          </w:p>
        </w:tc>
        <w:tc>
          <w:tcPr>
            <w:tcW w:w="23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hint="eastAsia" w:eastAsia="仿宋_GB2312"/>
                <w:b/>
                <w:color w:val="auto"/>
                <w:kern w:val="0"/>
                <w:sz w:val="18"/>
                <w:szCs w:val="18"/>
              </w:rPr>
              <w:t>96</w:t>
            </w:r>
          </w:p>
        </w:tc>
        <w:tc>
          <w:tcPr>
            <w:tcW w:w="23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b/>
                <w:color w:val="auto"/>
                <w:kern w:val="0"/>
                <w:sz w:val="18"/>
                <w:szCs w:val="18"/>
              </w:rPr>
              <w:t>48</w:t>
            </w:r>
          </w:p>
        </w:tc>
        <w:tc>
          <w:tcPr>
            <w:tcW w:w="238"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b/>
                <w:color w:val="auto"/>
                <w:kern w:val="0"/>
                <w:sz w:val="18"/>
                <w:szCs w:val="18"/>
              </w:rPr>
              <w:t>0</w:t>
            </w:r>
          </w:p>
        </w:tc>
        <w:tc>
          <w:tcPr>
            <w:tcW w:w="622" w:type="pct"/>
            <w:tcBorders>
              <w:top w:val="single" w:color="auto" w:sz="6" w:space="0"/>
              <w:left w:val="single" w:color="auto" w:sz="6" w:space="0"/>
              <w:bottom w:val="single" w:color="auto" w:sz="8" w:space="0"/>
              <w:right w:val="single" w:color="auto" w:sz="8" w:space="0"/>
            </w:tcBorders>
            <w:vAlign w:val="center"/>
          </w:tcPr>
          <w:p>
            <w:pPr>
              <w:widowControl/>
              <w:spacing w:line="240" w:lineRule="exact"/>
              <w:jc w:val="center"/>
              <w:textAlignment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restart"/>
            <w:tcBorders>
              <w:left w:val="single" w:color="auto" w:sz="8" w:space="0"/>
              <w:right w:val="single" w:color="auto" w:sz="6" w:space="0"/>
            </w:tcBorders>
            <w:vAlign w:val="center"/>
          </w:tcPr>
          <w:p>
            <w:pPr>
              <w:adjustRightInd w:val="0"/>
              <w:snapToGrid w:val="0"/>
              <w:spacing w:line="240" w:lineRule="exact"/>
              <w:jc w:val="left"/>
              <w:rPr>
                <w:rFonts w:hint="eastAsia" w:eastAsia="仿宋_GB2312"/>
                <w:b/>
                <w:bCs w:val="0"/>
                <w:color w:val="auto"/>
                <w:sz w:val="18"/>
                <w:szCs w:val="18"/>
                <w:lang w:val="en-US" w:eastAsia="zh-CN"/>
              </w:rPr>
            </w:pPr>
            <w:r>
              <w:rPr>
                <w:rFonts w:hint="eastAsia" w:eastAsia="仿宋_GB2312"/>
                <w:b/>
                <w:bCs w:val="0"/>
                <w:color w:val="auto"/>
                <w:sz w:val="18"/>
                <w:szCs w:val="18"/>
                <w:lang w:val="en-US" w:eastAsia="zh-CN"/>
              </w:rPr>
              <w:t>专业课</w:t>
            </w: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4060036</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供应链管理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Supply Chain Management</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4060059</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物流系统仿真</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System Simulation</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4060060</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物流系统仿真实验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System Simulation Experiment</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4060210</w:t>
            </w:r>
          </w:p>
        </w:tc>
        <w:tc>
          <w:tcPr>
            <w:tcW w:w="1308"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农产品物流学A</w:t>
            </w:r>
          </w:p>
          <w:p>
            <w:pPr>
              <w:spacing w:line="240" w:lineRule="exact"/>
              <w:jc w:val="left"/>
              <w:rPr>
                <w:rFonts w:eastAsia="仿宋_GB2312"/>
                <w:bCs/>
                <w:color w:val="auto"/>
                <w:sz w:val="18"/>
                <w:szCs w:val="18"/>
              </w:rPr>
            </w:pPr>
            <w:r>
              <w:rPr>
                <w:rFonts w:eastAsia="仿宋_GB2312"/>
                <w:bCs/>
                <w:color w:val="auto"/>
                <w:sz w:val="18"/>
                <w:szCs w:val="18"/>
              </w:rPr>
              <w:t>Agricultural products logistics</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4060234</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物流信息系统</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Logistics Information System</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482"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4060038</w:t>
            </w:r>
          </w:p>
        </w:tc>
        <w:tc>
          <w:tcPr>
            <w:tcW w:w="130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Style w:val="30"/>
                <w:rFonts w:hint="eastAsia" w:eastAsia="宋体"/>
                <w:color w:val="auto"/>
                <w:lang w:eastAsia="zh-CN"/>
              </w:rPr>
            </w:pPr>
            <w:r>
              <w:rPr>
                <w:rFonts w:hint="eastAsia" w:eastAsia="仿宋_GB2312"/>
                <w:bCs/>
                <w:color w:val="auto"/>
                <w:sz w:val="18"/>
                <w:szCs w:val="18"/>
                <w:lang w:eastAsia="zh-CN"/>
              </w:rPr>
              <w:t>国际物流实务A</w:t>
            </w:r>
          </w:p>
          <w:p>
            <w:pPr>
              <w:adjustRightInd w:val="0"/>
              <w:snapToGrid w:val="0"/>
              <w:spacing w:line="240" w:lineRule="exact"/>
              <w:jc w:val="left"/>
              <w:rPr>
                <w:rStyle w:val="30"/>
                <w:color w:val="auto"/>
              </w:rPr>
            </w:pPr>
            <w:r>
              <w:rPr>
                <w:rFonts w:hint="eastAsia" w:eastAsia="仿宋_GB2312"/>
                <w:bCs/>
                <w:color w:val="auto"/>
                <w:sz w:val="18"/>
                <w:szCs w:val="18"/>
              </w:rPr>
              <w:t>International Trade Practice</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8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3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3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5" w:type="pct"/>
            <w:vMerge w:val="continue"/>
            <w:tcBorders>
              <w:left w:val="single" w:color="auto" w:sz="8" w:space="0"/>
              <w:bottom w:val="single" w:color="auto" w:sz="6" w:space="0"/>
              <w:right w:val="single" w:color="auto" w:sz="6" w:space="0"/>
            </w:tcBorders>
            <w:vAlign w:val="center"/>
          </w:tcPr>
          <w:p>
            <w:pPr>
              <w:spacing w:line="240" w:lineRule="exact"/>
              <w:rPr>
                <w:rFonts w:eastAsia="仿宋_GB2312"/>
                <w:b/>
                <w:color w:val="auto"/>
                <w:sz w:val="18"/>
                <w:szCs w:val="18"/>
              </w:rPr>
            </w:pPr>
          </w:p>
        </w:tc>
        <w:tc>
          <w:tcPr>
            <w:tcW w:w="1790" w:type="pct"/>
            <w:gridSpan w:val="4"/>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center"/>
              <w:rPr>
                <w:rFonts w:eastAsia="仿宋_GB2312"/>
                <w:b/>
                <w:color w:val="auto"/>
                <w:sz w:val="18"/>
                <w:szCs w:val="18"/>
              </w:rPr>
            </w:pPr>
            <w:r>
              <w:rPr>
                <w:rFonts w:eastAsia="仿宋_GB2312"/>
                <w:b/>
                <w:bCs/>
                <w:color w:val="auto"/>
                <w:sz w:val="18"/>
                <w:szCs w:val="18"/>
              </w:rPr>
              <w:t>小计</w:t>
            </w:r>
          </w:p>
        </w:tc>
        <w:tc>
          <w:tcPr>
            <w:tcW w:w="28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b/>
                <w:color w:val="auto"/>
                <w:kern w:val="0"/>
                <w:sz w:val="18"/>
                <w:szCs w:val="18"/>
              </w:rPr>
            </w:pPr>
            <w:r>
              <w:rPr>
                <w:b/>
                <w:color w:val="auto"/>
                <w:kern w:val="0"/>
                <w:sz w:val="18"/>
                <w:szCs w:val="18"/>
              </w:rPr>
              <w:t>12.5</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200</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160</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40</w:t>
            </w:r>
          </w:p>
        </w:tc>
        <w:tc>
          <w:tcPr>
            <w:tcW w:w="28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0</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0</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128</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72</w:t>
            </w:r>
          </w:p>
        </w:tc>
        <w:tc>
          <w:tcPr>
            <w:tcW w:w="23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0</w:t>
            </w:r>
          </w:p>
        </w:tc>
        <w:tc>
          <w:tcPr>
            <w:tcW w:w="622"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025" w:type="pct"/>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必修课合计</w:t>
            </w:r>
          </w:p>
        </w:tc>
        <w:tc>
          <w:tcPr>
            <w:tcW w:w="28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b/>
                <w:color w:val="auto"/>
                <w:kern w:val="0"/>
                <w:sz w:val="18"/>
                <w:szCs w:val="18"/>
              </w:rPr>
            </w:pPr>
            <w:r>
              <w:rPr>
                <w:b/>
                <w:color w:val="auto"/>
                <w:kern w:val="0"/>
                <w:sz w:val="18"/>
                <w:szCs w:val="18"/>
              </w:rPr>
              <w:t>38</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608</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512</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96</w:t>
            </w:r>
          </w:p>
        </w:tc>
        <w:tc>
          <w:tcPr>
            <w:tcW w:w="28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0</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rFonts w:hint="eastAsia"/>
                <w:b/>
                <w:color w:val="auto"/>
                <w:kern w:val="0"/>
                <w:sz w:val="18"/>
                <w:szCs w:val="18"/>
              </w:rPr>
              <w:t>224</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rFonts w:hint="eastAsia"/>
                <w:b/>
                <w:color w:val="auto"/>
                <w:kern w:val="0"/>
                <w:sz w:val="18"/>
                <w:szCs w:val="18"/>
              </w:rPr>
              <w:t>264</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120</w:t>
            </w:r>
          </w:p>
        </w:tc>
        <w:tc>
          <w:tcPr>
            <w:tcW w:w="23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0</w:t>
            </w:r>
          </w:p>
        </w:tc>
        <w:tc>
          <w:tcPr>
            <w:tcW w:w="622"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99" w:type="pct"/>
            <w:gridSpan w:val="2"/>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选修课</w:t>
            </w:r>
          </w:p>
        </w:tc>
        <w:tc>
          <w:tcPr>
            <w:tcW w:w="1526"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专业拓展课</w:t>
            </w:r>
          </w:p>
        </w:tc>
        <w:tc>
          <w:tcPr>
            <w:tcW w:w="28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bCs/>
                <w:color w:val="auto"/>
                <w:sz w:val="18"/>
                <w:szCs w:val="18"/>
              </w:rPr>
            </w:pPr>
            <w:r>
              <w:rPr>
                <w:color w:val="auto"/>
                <w:kern w:val="0"/>
                <w:sz w:val="18"/>
                <w:szCs w:val="18"/>
              </w:rPr>
              <w:t>1</w:t>
            </w:r>
            <w:r>
              <w:rPr>
                <w:rFonts w:hint="eastAsia"/>
                <w:color w:val="auto"/>
                <w:kern w:val="0"/>
                <w:sz w:val="18"/>
                <w:szCs w:val="18"/>
              </w:rPr>
              <w:t>2</w:t>
            </w:r>
          </w:p>
        </w:tc>
        <w:tc>
          <w:tcPr>
            <w:tcW w:w="28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bCs/>
                <w:color w:val="auto"/>
                <w:sz w:val="18"/>
                <w:szCs w:val="18"/>
              </w:rPr>
            </w:pPr>
            <w:r>
              <w:rPr>
                <w:rFonts w:hint="eastAsia"/>
                <w:color w:val="auto"/>
                <w:kern w:val="0"/>
                <w:sz w:val="18"/>
                <w:szCs w:val="18"/>
              </w:rPr>
              <w:t>192</w:t>
            </w:r>
          </w:p>
        </w:tc>
        <w:tc>
          <w:tcPr>
            <w:tcW w:w="28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rFonts w:eastAsia="仿宋_GB2312"/>
                <w:bCs/>
                <w:color w:val="auto"/>
                <w:sz w:val="18"/>
                <w:szCs w:val="18"/>
              </w:rPr>
            </w:pP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85"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rFonts w:eastAsia="仿宋_GB2312"/>
                <w:bCs/>
                <w:color w:val="auto"/>
                <w:sz w:val="18"/>
                <w:szCs w:val="18"/>
              </w:rPr>
            </w:pPr>
            <w:r>
              <w:rPr>
                <w:color w:val="auto"/>
                <w:kern w:val="0"/>
                <w:sz w:val="18"/>
                <w:szCs w:val="18"/>
              </w:rPr>
              <w:t>0</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color w:val="auto"/>
                <w:kern w:val="0"/>
                <w:sz w:val="18"/>
                <w:szCs w:val="18"/>
              </w:rPr>
            </w:pPr>
            <w:r>
              <w:rPr>
                <w:color w:val="auto"/>
                <w:kern w:val="0"/>
                <w:sz w:val="18"/>
                <w:szCs w:val="18"/>
              </w:rPr>
              <w:t>96</w:t>
            </w:r>
          </w:p>
        </w:tc>
        <w:tc>
          <w:tcPr>
            <w:tcW w:w="233"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color w:val="auto"/>
                <w:kern w:val="0"/>
                <w:sz w:val="18"/>
                <w:szCs w:val="18"/>
              </w:rPr>
            </w:pPr>
            <w:r>
              <w:rPr>
                <w:rFonts w:hint="eastAsia"/>
                <w:color w:val="auto"/>
                <w:kern w:val="0"/>
                <w:sz w:val="18"/>
                <w:szCs w:val="18"/>
              </w:rPr>
              <w:t>96</w:t>
            </w:r>
          </w:p>
        </w:tc>
        <w:tc>
          <w:tcPr>
            <w:tcW w:w="23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color w:val="auto"/>
                <w:kern w:val="0"/>
                <w:sz w:val="18"/>
                <w:szCs w:val="18"/>
              </w:rPr>
            </w:pPr>
          </w:p>
        </w:tc>
        <w:tc>
          <w:tcPr>
            <w:tcW w:w="622"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025" w:type="pct"/>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28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b/>
                <w:color w:val="auto"/>
                <w:kern w:val="0"/>
                <w:sz w:val="18"/>
                <w:szCs w:val="18"/>
              </w:rPr>
            </w:pPr>
            <w:r>
              <w:rPr>
                <w:b/>
                <w:color w:val="auto"/>
                <w:kern w:val="0"/>
                <w:sz w:val="18"/>
                <w:szCs w:val="18"/>
              </w:rPr>
              <w:t>5</w:t>
            </w:r>
            <w:r>
              <w:rPr>
                <w:rFonts w:hint="eastAsia"/>
                <w:b/>
                <w:color w:val="auto"/>
                <w:kern w:val="0"/>
                <w:sz w:val="18"/>
                <w:szCs w:val="18"/>
              </w:rPr>
              <w:t>0</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rFonts w:hint="eastAsia"/>
                <w:b/>
                <w:color w:val="auto"/>
                <w:kern w:val="0"/>
                <w:sz w:val="18"/>
                <w:szCs w:val="18"/>
              </w:rPr>
              <w:t>800</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p>
        </w:tc>
        <w:tc>
          <w:tcPr>
            <w:tcW w:w="28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0</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rFonts w:hint="eastAsia"/>
                <w:b/>
                <w:color w:val="auto"/>
                <w:kern w:val="0"/>
                <w:sz w:val="18"/>
                <w:szCs w:val="18"/>
              </w:rPr>
              <w:t>224</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3</w:t>
            </w:r>
            <w:r>
              <w:rPr>
                <w:rFonts w:hint="eastAsia"/>
                <w:b/>
                <w:color w:val="auto"/>
                <w:kern w:val="0"/>
                <w:sz w:val="18"/>
                <w:szCs w:val="18"/>
              </w:rPr>
              <w:t>60</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rFonts w:hint="eastAsia"/>
                <w:b/>
                <w:color w:val="auto"/>
                <w:kern w:val="0"/>
                <w:sz w:val="18"/>
                <w:szCs w:val="18"/>
              </w:rPr>
              <w:t>216</w:t>
            </w:r>
          </w:p>
        </w:tc>
        <w:tc>
          <w:tcPr>
            <w:tcW w:w="23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textAlignment w:val="top"/>
              <w:rPr>
                <w:b/>
                <w:color w:val="auto"/>
                <w:kern w:val="0"/>
                <w:sz w:val="18"/>
                <w:szCs w:val="18"/>
              </w:rPr>
            </w:pPr>
            <w:r>
              <w:rPr>
                <w:b/>
                <w:color w:val="auto"/>
                <w:kern w:val="0"/>
                <w:sz w:val="18"/>
                <w:szCs w:val="18"/>
              </w:rPr>
              <w:t>0</w:t>
            </w:r>
          </w:p>
        </w:tc>
        <w:tc>
          <w:tcPr>
            <w:tcW w:w="622"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6" w:type="pct"/>
            <w:gridSpan w:val="3"/>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实践教学</w:t>
            </w:r>
          </w:p>
        </w:tc>
        <w:tc>
          <w:tcPr>
            <w:tcW w:w="1399" w:type="pct"/>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282" w:type="pct"/>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textAlignment w:val="top"/>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5</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8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23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622"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26" w:type="pct"/>
            <w:gridSpan w:val="3"/>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399" w:type="pct"/>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周数</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
                <w:color w:val="auto"/>
                <w:sz w:val="18"/>
                <w:szCs w:val="18"/>
              </w:rPr>
              <w:t>30+（1</w:t>
            </w:r>
            <w:r>
              <w:rPr>
                <w:rFonts w:hint="eastAsia" w:eastAsia="仿宋_GB2312"/>
                <w:b/>
                <w:color w:val="auto"/>
                <w:sz w:val="18"/>
                <w:szCs w:val="18"/>
              </w:rPr>
              <w:t>2</w:t>
            </w:r>
            <w:r>
              <w:rPr>
                <w:rFonts w:eastAsia="仿宋_GB2312"/>
                <w:b/>
                <w:color w:val="auto"/>
                <w:sz w:val="18"/>
                <w:szCs w:val="18"/>
              </w:rPr>
              <w:t>）</w:t>
            </w: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8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8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23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23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22</w:t>
            </w:r>
          </w:p>
        </w:tc>
        <w:tc>
          <w:tcPr>
            <w:tcW w:w="622"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025" w:type="pct"/>
            <w:gridSpan w:val="5"/>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282"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282"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282"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282"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285"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p>
        </w:tc>
        <w:tc>
          <w:tcPr>
            <w:tcW w:w="23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top"/>
              <w:rPr>
                <w:rFonts w:eastAsia="仿宋_GB2312"/>
                <w:b/>
                <w:color w:val="auto"/>
                <w:sz w:val="18"/>
                <w:szCs w:val="18"/>
              </w:rPr>
            </w:pPr>
            <w:r>
              <w:rPr>
                <w:rFonts w:eastAsia="仿宋_GB2312"/>
                <w:b/>
                <w:color w:val="auto"/>
                <w:sz w:val="18"/>
                <w:szCs w:val="18"/>
              </w:rPr>
              <w:t>1</w:t>
            </w:r>
            <w:r>
              <w:rPr>
                <w:rFonts w:hint="eastAsia" w:eastAsia="仿宋_GB2312"/>
                <w:b/>
                <w:color w:val="auto"/>
                <w:sz w:val="18"/>
                <w:szCs w:val="18"/>
              </w:rPr>
              <w:t>6</w:t>
            </w:r>
          </w:p>
        </w:tc>
        <w:tc>
          <w:tcPr>
            <w:tcW w:w="23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top"/>
              <w:rPr>
                <w:rFonts w:eastAsia="仿宋_GB2312"/>
                <w:b/>
                <w:color w:val="auto"/>
                <w:sz w:val="18"/>
                <w:szCs w:val="18"/>
              </w:rPr>
            </w:pPr>
            <w:r>
              <w:rPr>
                <w:rFonts w:eastAsia="仿宋_GB2312"/>
                <w:b/>
                <w:color w:val="auto"/>
                <w:sz w:val="18"/>
                <w:szCs w:val="18"/>
              </w:rPr>
              <w:t>21.2</w:t>
            </w:r>
          </w:p>
        </w:tc>
        <w:tc>
          <w:tcPr>
            <w:tcW w:w="233"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top"/>
              <w:rPr>
                <w:rFonts w:eastAsia="仿宋_GB2312"/>
                <w:b/>
                <w:color w:val="auto"/>
                <w:sz w:val="18"/>
                <w:szCs w:val="18"/>
              </w:rPr>
            </w:pPr>
            <w:r>
              <w:rPr>
                <w:rFonts w:eastAsia="仿宋_GB2312"/>
                <w:b/>
                <w:color w:val="auto"/>
                <w:sz w:val="18"/>
                <w:szCs w:val="18"/>
              </w:rPr>
              <w:t>19.6</w:t>
            </w:r>
          </w:p>
        </w:tc>
        <w:tc>
          <w:tcPr>
            <w:tcW w:w="238" w:type="pct"/>
            <w:tcBorders>
              <w:top w:val="single" w:color="auto" w:sz="6" w:space="0"/>
              <w:left w:val="single" w:color="auto" w:sz="6" w:space="0"/>
              <w:bottom w:val="single" w:color="auto" w:sz="8" w:space="0"/>
              <w:right w:val="single" w:color="auto" w:sz="6" w:space="0"/>
            </w:tcBorders>
            <w:vAlign w:val="center"/>
          </w:tcPr>
          <w:p>
            <w:pPr>
              <w:widowControl/>
              <w:spacing w:line="240" w:lineRule="exact"/>
              <w:jc w:val="center"/>
              <w:textAlignment w:val="top"/>
              <w:rPr>
                <w:rFonts w:eastAsia="仿宋_GB2312"/>
                <w:b/>
                <w:color w:val="auto"/>
                <w:sz w:val="18"/>
                <w:szCs w:val="18"/>
              </w:rPr>
            </w:pPr>
          </w:p>
        </w:tc>
        <w:tc>
          <w:tcPr>
            <w:tcW w:w="622" w:type="pct"/>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eastAsia="仿宋_GB2312"/>
                <w:b/>
                <w:color w:val="auto"/>
                <w:sz w:val="18"/>
                <w:szCs w:val="18"/>
              </w:rPr>
            </w:pPr>
          </w:p>
        </w:tc>
      </w:tr>
    </w:tbl>
    <w:p>
      <w:pPr>
        <w:adjustRightInd w:val="0"/>
        <w:snapToGrid w:val="0"/>
        <w:spacing w:before="120" w:beforeLines="50" w:line="360" w:lineRule="auto"/>
        <w:ind w:firstLine="360" w:firstLineChars="200"/>
        <w:rPr>
          <w:rFonts w:eastAsia="仿宋_GB2312"/>
          <w:bCs/>
          <w:color w:val="auto"/>
          <w:sz w:val="18"/>
          <w:szCs w:val="18"/>
        </w:rPr>
      </w:pPr>
    </w:p>
    <w:p>
      <w:pPr>
        <w:adjustRightInd w:val="0"/>
        <w:snapToGrid w:val="0"/>
        <w:spacing w:before="120" w:beforeLines="50" w:line="360" w:lineRule="auto"/>
        <w:ind w:firstLine="360" w:firstLineChars="200"/>
        <w:rPr>
          <w:rFonts w:eastAsia="仿宋_GB2312"/>
          <w:bCs/>
          <w:color w:val="auto"/>
          <w:sz w:val="18"/>
          <w:szCs w:val="18"/>
        </w:rPr>
      </w:pPr>
    </w:p>
    <w:p>
      <w:pPr>
        <w:adjustRightInd w:val="0"/>
        <w:snapToGrid w:val="0"/>
        <w:spacing w:before="120" w:beforeLines="50" w:line="360" w:lineRule="auto"/>
        <w:ind w:firstLine="360" w:firstLineChars="200"/>
        <w:rPr>
          <w:rFonts w:eastAsia="仿宋_GB2312"/>
          <w:bCs/>
          <w:color w:val="auto"/>
          <w:sz w:val="18"/>
          <w:szCs w:val="18"/>
        </w:rPr>
      </w:pPr>
    </w:p>
    <w:p>
      <w:pPr>
        <w:adjustRightInd w:val="0"/>
        <w:snapToGrid w:val="0"/>
        <w:spacing w:before="120" w:beforeLines="50" w:line="360" w:lineRule="auto"/>
        <w:rPr>
          <w:rFonts w:eastAsia="黑体"/>
          <w:bCs/>
          <w:color w:val="auto"/>
          <w:sz w:val="24"/>
        </w:rPr>
      </w:pPr>
      <w:r>
        <w:rPr>
          <w:rFonts w:eastAsia="黑体"/>
          <w:bCs/>
          <w:color w:val="auto"/>
          <w:kern w:val="0"/>
          <w:sz w:val="24"/>
        </w:rPr>
        <w:t>表</w:t>
      </w:r>
      <w:r>
        <w:rPr>
          <w:rFonts w:hint="eastAsia" w:ascii="宋体" w:hAnsi="宋体" w:cs="宋体"/>
          <w:bCs/>
          <w:color w:val="auto"/>
          <w:kern w:val="0"/>
          <w:sz w:val="24"/>
        </w:rPr>
        <w:t>Ⅱ</w:t>
      </w:r>
      <w:r>
        <w:rPr>
          <w:rFonts w:eastAsia="黑体"/>
          <w:bCs/>
          <w:color w:val="auto"/>
          <w:kern w:val="0"/>
          <w:sz w:val="24"/>
        </w:rPr>
        <w:t>选修课课程设置一览表</w:t>
      </w:r>
      <w:r>
        <w:rPr>
          <w:rFonts w:hint="eastAsia" w:eastAsia="黑体"/>
          <w:bCs/>
          <w:color w:val="auto"/>
          <w:kern w:val="0"/>
          <w:sz w:val="24"/>
        </w:rPr>
        <w:t xml:space="preserve">                                                                     </w:t>
      </w:r>
      <w:r>
        <w:rPr>
          <w:rFonts w:eastAsia="黑体"/>
          <w:bCs/>
          <w:color w:val="auto"/>
          <w:kern w:val="0"/>
          <w:sz w:val="24"/>
        </w:rPr>
        <w:t>物流管理专业（3+2）</w:t>
      </w:r>
    </w:p>
    <w:tbl>
      <w:tblPr>
        <w:tblStyle w:val="23"/>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108" w:type="dxa"/>
          <w:bottom w:w="0" w:type="dxa"/>
          <w:right w:w="108" w:type="dxa"/>
        </w:tblCellMar>
      </w:tblPr>
      <w:tblGrid>
        <w:gridCol w:w="892"/>
        <w:gridCol w:w="1138"/>
        <w:gridCol w:w="3523"/>
        <w:gridCol w:w="720"/>
        <w:gridCol w:w="861"/>
        <w:gridCol w:w="717"/>
        <w:gridCol w:w="861"/>
        <w:gridCol w:w="731"/>
        <w:gridCol w:w="1011"/>
        <w:gridCol w:w="1629"/>
        <w:gridCol w:w="20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课程类型</w:t>
            </w:r>
          </w:p>
        </w:tc>
        <w:tc>
          <w:tcPr>
            <w:tcW w:w="403"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248"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255"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1123" w:type="pct"/>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358"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577" w:type="pct"/>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最低</w:t>
            </w:r>
            <w:r>
              <w:rPr>
                <w:rFonts w:eastAsia="仿宋_GB2312"/>
                <w:b/>
                <w:color w:val="auto"/>
                <w:sz w:val="18"/>
                <w:szCs w:val="18"/>
              </w:rPr>
              <w:t>选修</w:t>
            </w:r>
            <w:r>
              <w:rPr>
                <w:rFonts w:hint="eastAsia" w:eastAsia="仿宋_GB2312"/>
                <w:b/>
                <w:color w:val="auto"/>
                <w:sz w:val="18"/>
                <w:szCs w:val="18"/>
              </w:rPr>
              <w:t>学分</w:t>
            </w:r>
          </w:p>
        </w:tc>
        <w:tc>
          <w:tcPr>
            <w:tcW w:w="716"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Cs/>
                <w:color w:val="auto"/>
                <w:sz w:val="18"/>
                <w:szCs w:val="18"/>
              </w:rPr>
            </w:pPr>
          </w:p>
        </w:tc>
        <w:tc>
          <w:tcPr>
            <w:tcW w:w="403" w:type="pct"/>
            <w:vMerge w:val="continue"/>
            <w:shd w:val="clear" w:color="auto" w:fill="E6E6E6"/>
            <w:vAlign w:val="center"/>
          </w:tcPr>
          <w:p>
            <w:pPr>
              <w:spacing w:line="240" w:lineRule="exact"/>
              <w:jc w:val="center"/>
              <w:rPr>
                <w:rFonts w:eastAsia="仿宋_GB2312"/>
                <w:bCs/>
                <w:color w:val="auto"/>
                <w:sz w:val="18"/>
                <w:szCs w:val="18"/>
              </w:rPr>
            </w:pPr>
          </w:p>
        </w:tc>
        <w:tc>
          <w:tcPr>
            <w:tcW w:w="1248" w:type="pct"/>
            <w:vMerge w:val="continue"/>
            <w:shd w:val="clear" w:color="auto" w:fill="E6E6E6"/>
            <w:vAlign w:val="center"/>
          </w:tcPr>
          <w:p>
            <w:pPr>
              <w:spacing w:line="240" w:lineRule="exact"/>
              <w:jc w:val="center"/>
              <w:rPr>
                <w:rFonts w:eastAsia="仿宋_GB2312"/>
                <w:bCs/>
                <w:color w:val="auto"/>
                <w:sz w:val="18"/>
                <w:szCs w:val="18"/>
              </w:rPr>
            </w:pPr>
          </w:p>
        </w:tc>
        <w:tc>
          <w:tcPr>
            <w:tcW w:w="255" w:type="pct"/>
            <w:vMerge w:val="continue"/>
            <w:shd w:val="clear" w:color="auto" w:fill="E6E6E6"/>
            <w:vAlign w:val="center"/>
          </w:tcPr>
          <w:p>
            <w:pPr>
              <w:spacing w:line="240" w:lineRule="exact"/>
              <w:jc w:val="center"/>
              <w:rPr>
                <w:rFonts w:eastAsia="仿宋_GB2312"/>
                <w:bCs/>
                <w:color w:val="auto"/>
                <w:sz w:val="18"/>
                <w:szCs w:val="18"/>
              </w:rPr>
            </w:pPr>
          </w:p>
        </w:tc>
        <w:tc>
          <w:tcPr>
            <w:tcW w:w="305"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254"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305"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259"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358" w:type="pct"/>
            <w:vMerge w:val="continue"/>
            <w:shd w:val="clear" w:color="auto" w:fill="E6E6E6"/>
            <w:vAlign w:val="center"/>
          </w:tcPr>
          <w:p>
            <w:pPr>
              <w:spacing w:line="240" w:lineRule="exact"/>
              <w:jc w:val="center"/>
              <w:rPr>
                <w:rFonts w:eastAsia="仿宋_GB2312"/>
                <w:bCs/>
                <w:color w:val="auto"/>
                <w:sz w:val="18"/>
                <w:szCs w:val="18"/>
              </w:rPr>
            </w:pPr>
          </w:p>
        </w:tc>
        <w:tc>
          <w:tcPr>
            <w:tcW w:w="577" w:type="pct"/>
            <w:vMerge w:val="continue"/>
            <w:vAlign w:val="center"/>
          </w:tcPr>
          <w:p>
            <w:pPr>
              <w:spacing w:line="240" w:lineRule="exact"/>
              <w:jc w:val="center"/>
              <w:rPr>
                <w:rFonts w:eastAsia="仿宋_GB2312"/>
                <w:bCs/>
                <w:color w:val="auto"/>
                <w:sz w:val="18"/>
                <w:szCs w:val="18"/>
              </w:rPr>
            </w:pPr>
          </w:p>
        </w:tc>
        <w:tc>
          <w:tcPr>
            <w:tcW w:w="716" w:type="pct"/>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专业拓展课程</w:t>
            </w:r>
            <w:r>
              <w:rPr>
                <w:rFonts w:hint="eastAsia" w:eastAsia="仿宋_GB2312"/>
                <w:b/>
                <w:color w:val="auto"/>
                <w:sz w:val="18"/>
                <w:szCs w:val="18"/>
              </w:rPr>
              <w:t>（选修）</w:t>
            </w: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4070072</w:t>
            </w:r>
          </w:p>
        </w:tc>
        <w:tc>
          <w:tcPr>
            <w:tcW w:w="1248"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合作经济学概论</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 xml:space="preserve">Introduction to cooperative Economics </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577" w:type="pct"/>
            <w:vMerge w:val="restart"/>
            <w:vAlign w:val="center"/>
          </w:tcPr>
          <w:p>
            <w:pPr>
              <w:spacing w:line="240" w:lineRule="exact"/>
              <w:jc w:val="center"/>
              <w:rPr>
                <w:rFonts w:eastAsia="仿宋_GB2312"/>
                <w:bCs/>
                <w:color w:val="auto"/>
                <w:sz w:val="18"/>
                <w:szCs w:val="18"/>
              </w:rPr>
            </w:pPr>
            <w:r>
              <w:rPr>
                <w:rFonts w:hint="eastAsia" w:eastAsia="仿宋_GB2312"/>
                <w:bCs/>
                <w:color w:val="auto"/>
                <w:sz w:val="18"/>
                <w:szCs w:val="18"/>
              </w:rPr>
              <w:t>农产品</w:t>
            </w:r>
            <w:r>
              <w:rPr>
                <w:rFonts w:eastAsia="仿宋_GB2312"/>
                <w:bCs/>
                <w:color w:val="auto"/>
                <w:sz w:val="18"/>
                <w:szCs w:val="18"/>
              </w:rPr>
              <w:t>物流模块</w:t>
            </w:r>
          </w:p>
          <w:p>
            <w:pPr>
              <w:spacing w:line="240" w:lineRule="exact"/>
              <w:jc w:val="center"/>
              <w:rPr>
                <w:rFonts w:eastAsia="仿宋_GB2312"/>
                <w:bCs/>
                <w:color w:val="auto"/>
                <w:sz w:val="18"/>
                <w:szCs w:val="18"/>
              </w:rPr>
            </w:pPr>
            <w:r>
              <w:rPr>
                <w:rFonts w:eastAsia="仿宋_GB2312"/>
                <w:bCs/>
                <w:color w:val="auto"/>
                <w:sz w:val="18"/>
                <w:szCs w:val="18"/>
              </w:rPr>
              <w:t>（4学分）</w:t>
            </w:r>
          </w:p>
        </w:tc>
        <w:tc>
          <w:tcPr>
            <w:tcW w:w="716" w:type="pct"/>
            <w:vAlign w:val="center"/>
          </w:tcPr>
          <w:p>
            <w:pPr>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4070028</w:t>
            </w:r>
          </w:p>
        </w:tc>
        <w:tc>
          <w:tcPr>
            <w:tcW w:w="1248"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农产品营销学B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International Trade of Agricultural Products</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77" w:type="pct"/>
            <w:vMerge w:val="continue"/>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4071361</w:t>
            </w:r>
          </w:p>
        </w:tc>
        <w:tc>
          <w:tcPr>
            <w:tcW w:w="1248"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农产品贮藏加工学</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Storage and processing of agricultural products</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577" w:type="pct"/>
            <w:vMerge w:val="continue"/>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4070421</w:t>
            </w:r>
          </w:p>
        </w:tc>
        <w:tc>
          <w:tcPr>
            <w:tcW w:w="1248"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农产品国际贸易B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International Trade of Agricultural Products</w:t>
            </w:r>
          </w:p>
        </w:tc>
        <w:tc>
          <w:tcPr>
            <w:tcW w:w="255" w:type="pct"/>
            <w:vAlign w:val="center"/>
          </w:tcPr>
          <w:p>
            <w:pPr>
              <w:adjustRightInd w:val="0"/>
              <w:snapToGrid w:val="0"/>
              <w:spacing w:line="240" w:lineRule="exact"/>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3.0</w:t>
            </w:r>
          </w:p>
        </w:tc>
        <w:tc>
          <w:tcPr>
            <w:tcW w:w="305" w:type="pct"/>
            <w:vAlign w:val="center"/>
          </w:tcPr>
          <w:p>
            <w:pPr>
              <w:adjustRightInd w:val="0"/>
              <w:snapToGrid w:val="0"/>
              <w:spacing w:line="240" w:lineRule="exact"/>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48</w:t>
            </w:r>
          </w:p>
        </w:tc>
        <w:tc>
          <w:tcPr>
            <w:tcW w:w="254" w:type="pct"/>
            <w:vAlign w:val="center"/>
          </w:tcPr>
          <w:p>
            <w:pPr>
              <w:adjustRightInd w:val="0"/>
              <w:snapToGrid w:val="0"/>
              <w:spacing w:line="240" w:lineRule="exact"/>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40</w:t>
            </w:r>
          </w:p>
        </w:tc>
        <w:tc>
          <w:tcPr>
            <w:tcW w:w="305" w:type="pct"/>
            <w:vAlign w:val="center"/>
          </w:tcPr>
          <w:p>
            <w:pPr>
              <w:adjustRightInd w:val="0"/>
              <w:snapToGrid w:val="0"/>
              <w:spacing w:line="240" w:lineRule="exact"/>
              <w:jc w:val="center"/>
              <w:rPr>
                <w:rFonts w:hint="eastAsia" w:eastAsia="仿宋_GB2312"/>
                <w:bCs/>
                <w:color w:val="auto"/>
                <w:sz w:val="18"/>
                <w:szCs w:val="18"/>
                <w:lang w:eastAsia="zh-CN"/>
              </w:rPr>
            </w:pPr>
            <w:r>
              <w:rPr>
                <w:rFonts w:hint="eastAsia" w:eastAsia="仿宋_GB2312"/>
                <w:bCs/>
                <w:color w:val="auto"/>
                <w:sz w:val="18"/>
                <w:szCs w:val="18"/>
                <w:lang w:val="en-US" w:eastAsia="zh-CN"/>
              </w:rPr>
              <w:t>8</w:t>
            </w:r>
          </w:p>
        </w:tc>
        <w:tc>
          <w:tcPr>
            <w:tcW w:w="259" w:type="pct"/>
            <w:vAlign w:val="center"/>
          </w:tcPr>
          <w:p>
            <w:pPr>
              <w:adjustRightInd w:val="0"/>
              <w:snapToGrid w:val="0"/>
              <w:spacing w:line="240" w:lineRule="exact"/>
              <w:jc w:val="center"/>
              <w:rPr>
                <w:rFonts w:eastAsia="仿宋_GB2312"/>
                <w:bCs/>
                <w:color w:val="auto"/>
                <w:sz w:val="18"/>
                <w:szCs w:val="18"/>
              </w:rPr>
            </w:pPr>
          </w:p>
        </w:tc>
        <w:tc>
          <w:tcPr>
            <w:tcW w:w="358"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w:t>
            </w:r>
          </w:p>
        </w:tc>
        <w:tc>
          <w:tcPr>
            <w:tcW w:w="577" w:type="pct"/>
            <w:vMerge w:val="continue"/>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4070027</w:t>
            </w:r>
          </w:p>
        </w:tc>
        <w:tc>
          <w:tcPr>
            <w:tcW w:w="1248"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国际航运管理</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International shipping management</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77"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国际物流模块</w:t>
            </w:r>
          </w:p>
          <w:p>
            <w:pPr>
              <w:spacing w:line="240" w:lineRule="exact"/>
              <w:jc w:val="center"/>
              <w:rPr>
                <w:rFonts w:eastAsia="仿宋_GB2312"/>
                <w:bCs/>
                <w:color w:val="auto"/>
                <w:sz w:val="18"/>
                <w:szCs w:val="18"/>
              </w:rPr>
            </w:pPr>
            <w:r>
              <w:rPr>
                <w:rFonts w:eastAsia="仿宋_GB2312"/>
                <w:bCs/>
                <w:color w:val="auto"/>
                <w:sz w:val="18"/>
                <w:szCs w:val="18"/>
              </w:rPr>
              <w:t>（4学分）</w:t>
            </w:r>
          </w:p>
        </w:tc>
        <w:tc>
          <w:tcPr>
            <w:tcW w:w="71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4070031</w:t>
            </w:r>
          </w:p>
        </w:tc>
        <w:tc>
          <w:tcPr>
            <w:tcW w:w="1248"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现代港口物流管理</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Modern port logistics management</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77" w:type="pct"/>
            <w:vMerge w:val="continue"/>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4070450</w:t>
            </w:r>
          </w:p>
        </w:tc>
        <w:tc>
          <w:tcPr>
            <w:tcW w:w="1248"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物流客户服务</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Logistics customer service</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577" w:type="pct"/>
            <w:vMerge w:val="continue"/>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4070885</w:t>
            </w:r>
          </w:p>
        </w:tc>
        <w:tc>
          <w:tcPr>
            <w:tcW w:w="1248"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国际金融</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International finance</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577" w:type="pct"/>
            <w:vMerge w:val="continue"/>
            <w:tcBorders>
              <w:bottom w:val="single" w:color="auto" w:sz="4" w:space="0"/>
            </w:tcBorders>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4070032</w:t>
            </w:r>
          </w:p>
        </w:tc>
        <w:tc>
          <w:tcPr>
            <w:tcW w:w="1248"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战略管理B</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Strategic management</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77" w:type="pct"/>
            <w:vMerge w:val="restart"/>
            <w:tcBorders>
              <w:top w:val="single" w:color="auto" w:sz="4"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任选</w:t>
            </w:r>
            <w:r>
              <w:rPr>
                <w:rFonts w:eastAsia="仿宋_GB2312"/>
                <w:bCs/>
                <w:color w:val="auto"/>
                <w:sz w:val="18"/>
                <w:szCs w:val="18"/>
              </w:rPr>
              <w:t>模块</w:t>
            </w:r>
          </w:p>
          <w:p>
            <w:pPr>
              <w:spacing w:line="240" w:lineRule="exact"/>
              <w:jc w:val="center"/>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4</w:t>
            </w:r>
            <w:r>
              <w:rPr>
                <w:rFonts w:eastAsia="仿宋_GB2312"/>
                <w:bCs/>
                <w:color w:val="auto"/>
                <w:sz w:val="18"/>
                <w:szCs w:val="18"/>
              </w:rPr>
              <w:t>学分）</w:t>
            </w:r>
          </w:p>
        </w:tc>
        <w:tc>
          <w:tcPr>
            <w:tcW w:w="716"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4070030</w:t>
            </w:r>
          </w:p>
        </w:tc>
        <w:tc>
          <w:tcPr>
            <w:tcW w:w="1248"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物流经济学</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Logistics Economics</w:t>
            </w:r>
          </w:p>
        </w:tc>
        <w:tc>
          <w:tcPr>
            <w:tcW w:w="255"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305"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577" w:type="pct"/>
            <w:vMerge w:val="continue"/>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4070447</w:t>
            </w:r>
          </w:p>
        </w:tc>
        <w:tc>
          <w:tcPr>
            <w:tcW w:w="1248"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物流成本管理与控制</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Logistics cost management and control</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3</w:t>
            </w:r>
          </w:p>
        </w:tc>
        <w:tc>
          <w:tcPr>
            <w:tcW w:w="577" w:type="pct"/>
            <w:vMerge w:val="continue"/>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4070437</w:t>
            </w:r>
          </w:p>
        </w:tc>
        <w:tc>
          <w:tcPr>
            <w:tcW w:w="1248"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市场调查与预测B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Market Survey and Forecast</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24</w:t>
            </w:r>
          </w:p>
        </w:tc>
        <w:tc>
          <w:tcPr>
            <w:tcW w:w="305" w:type="pct"/>
            <w:vAlign w:val="center"/>
          </w:tcPr>
          <w:p>
            <w:pPr>
              <w:spacing w:line="240" w:lineRule="exact"/>
              <w:jc w:val="center"/>
              <w:rPr>
                <w:rFonts w:hint="eastAsia" w:eastAsia="仿宋_GB2312"/>
                <w:bCs/>
                <w:color w:val="auto"/>
                <w:sz w:val="18"/>
                <w:szCs w:val="18"/>
                <w:lang w:eastAsia="zh-CN"/>
              </w:rPr>
            </w:pPr>
            <w:r>
              <w:rPr>
                <w:rFonts w:hint="eastAsia" w:eastAsia="仿宋_GB2312"/>
                <w:bCs/>
                <w:color w:val="auto"/>
                <w:sz w:val="18"/>
                <w:szCs w:val="18"/>
                <w:lang w:val="en-US" w:eastAsia="zh-CN"/>
              </w:rPr>
              <w:t>8</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577" w:type="pct"/>
            <w:vMerge w:val="continue"/>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16" w:type="pct"/>
            <w:vMerge w:val="continue"/>
            <w:vAlign w:val="center"/>
          </w:tcPr>
          <w:p>
            <w:pPr>
              <w:spacing w:line="240" w:lineRule="exact"/>
              <w:jc w:val="center"/>
              <w:rPr>
                <w:rFonts w:eastAsia="仿宋_GB2312"/>
                <w:b/>
                <w:color w:val="auto"/>
                <w:sz w:val="18"/>
                <w:szCs w:val="18"/>
              </w:rPr>
            </w:pPr>
          </w:p>
        </w:tc>
        <w:tc>
          <w:tcPr>
            <w:tcW w:w="40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4070457</w:t>
            </w:r>
          </w:p>
        </w:tc>
        <w:tc>
          <w:tcPr>
            <w:tcW w:w="1248"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应急物流管理</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Emergency logistics management</w:t>
            </w:r>
          </w:p>
        </w:tc>
        <w:tc>
          <w:tcPr>
            <w:tcW w:w="255"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4"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305"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9" w:type="pct"/>
            <w:vAlign w:val="center"/>
          </w:tcPr>
          <w:p>
            <w:pPr>
              <w:spacing w:line="240" w:lineRule="exact"/>
              <w:jc w:val="center"/>
              <w:rPr>
                <w:rFonts w:eastAsia="仿宋_GB2312"/>
                <w:bCs/>
                <w:color w:val="auto"/>
                <w:sz w:val="18"/>
                <w:szCs w:val="18"/>
              </w:rPr>
            </w:pPr>
          </w:p>
        </w:tc>
        <w:tc>
          <w:tcPr>
            <w:tcW w:w="358"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577" w:type="pct"/>
            <w:vMerge w:val="continue"/>
            <w:vAlign w:val="center"/>
          </w:tcPr>
          <w:p>
            <w:pPr>
              <w:spacing w:line="240" w:lineRule="exact"/>
              <w:jc w:val="center"/>
              <w:rPr>
                <w:rFonts w:eastAsia="仿宋_GB2312"/>
                <w:bCs/>
                <w:color w:val="auto"/>
                <w:sz w:val="18"/>
                <w:szCs w:val="18"/>
              </w:rPr>
            </w:pPr>
          </w:p>
        </w:tc>
        <w:tc>
          <w:tcPr>
            <w:tcW w:w="716"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bl>
    <w:p>
      <w:pPr>
        <w:adjustRightInd w:val="0"/>
        <w:snapToGrid w:val="0"/>
        <w:spacing w:line="320" w:lineRule="exact"/>
        <w:rPr>
          <w:color w:val="auto"/>
          <w:kern w:val="0"/>
          <w:sz w:val="18"/>
          <w:szCs w:val="18"/>
        </w:rPr>
        <w:sectPr>
          <w:pgSz w:w="16838" w:h="11906" w:orient="landscape"/>
          <w:pgMar w:top="1531" w:right="1361" w:bottom="1021" w:left="1588" w:header="851" w:footer="992" w:gutter="0"/>
          <w:pgNumType w:fmt="numberInDash"/>
          <w:cols w:space="720" w:num="1"/>
          <w:docGrid w:linePitch="312" w:charSpace="0"/>
        </w:sectPr>
      </w:pPr>
    </w:p>
    <w:p>
      <w:pPr>
        <w:adjustRightInd w:val="0"/>
        <w:spacing w:before="120" w:beforeLines="50" w:line="360" w:lineRule="auto"/>
        <w:ind w:firstLine="560" w:firstLineChars="200"/>
        <w:rPr>
          <w:rFonts w:eastAsia="楷体_GB2312"/>
          <w:bCs/>
          <w:color w:val="auto"/>
          <w:sz w:val="28"/>
          <w:szCs w:val="28"/>
        </w:rPr>
      </w:pPr>
      <w:r>
        <w:rPr>
          <w:rFonts w:eastAsia="楷体_GB2312"/>
          <w:bCs/>
          <w:color w:val="auto"/>
          <w:sz w:val="28"/>
          <w:szCs w:val="28"/>
        </w:rPr>
        <w:t>（二）实践教学环节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8"/>
        <w:gridCol w:w="993"/>
        <w:gridCol w:w="3550"/>
        <w:gridCol w:w="802"/>
        <w:gridCol w:w="648"/>
        <w:gridCol w:w="1083"/>
        <w:gridCol w:w="1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Align w:val="center"/>
          </w:tcPr>
          <w:p>
            <w:pPr>
              <w:spacing w:line="240" w:lineRule="exact"/>
              <w:jc w:val="center"/>
              <w:rPr>
                <w:rFonts w:eastAsia="仿宋_GB2312"/>
                <w:b/>
                <w:color w:val="auto"/>
                <w:sz w:val="18"/>
                <w:szCs w:val="18"/>
              </w:rPr>
            </w:pPr>
            <w:r>
              <w:rPr>
                <w:rFonts w:eastAsia="仿宋_GB2312"/>
                <w:b/>
                <w:color w:val="auto"/>
                <w:sz w:val="18"/>
                <w:szCs w:val="18"/>
              </w:rPr>
              <w:t>课程类型</w:t>
            </w:r>
          </w:p>
        </w:tc>
        <w:tc>
          <w:tcPr>
            <w:tcW w:w="541" w:type="pc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933" w:type="pc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437" w:type="pc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353" w:type="pc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590" w:type="pct"/>
            <w:vAlign w:val="center"/>
          </w:tcPr>
          <w:p>
            <w:pPr>
              <w:spacing w:line="240" w:lineRule="exact"/>
              <w:jc w:val="center"/>
              <w:rPr>
                <w:rFonts w:eastAsia="仿宋_GB2312"/>
                <w:b/>
                <w:color w:val="auto"/>
                <w:sz w:val="18"/>
                <w:szCs w:val="18"/>
              </w:rPr>
            </w:pPr>
            <w:r>
              <w:rPr>
                <w:rFonts w:eastAsia="仿宋_GB2312"/>
                <w:b/>
                <w:color w:val="auto"/>
                <w:sz w:val="18"/>
                <w:szCs w:val="18"/>
              </w:rPr>
              <w:t>时间</w:t>
            </w:r>
          </w:p>
          <w:p>
            <w:pPr>
              <w:spacing w:line="240" w:lineRule="exact"/>
              <w:jc w:val="center"/>
              <w:rPr>
                <w:rFonts w:eastAsia="仿宋_GB2312"/>
                <w:b/>
                <w:color w:val="auto"/>
                <w:sz w:val="18"/>
                <w:szCs w:val="18"/>
              </w:rPr>
            </w:pPr>
            <w:r>
              <w:rPr>
                <w:rFonts w:eastAsia="仿宋_GB2312"/>
                <w:b/>
                <w:color w:val="auto"/>
                <w:sz w:val="18"/>
                <w:szCs w:val="18"/>
              </w:rPr>
              <w:t>（周）</w:t>
            </w:r>
          </w:p>
        </w:tc>
        <w:tc>
          <w:tcPr>
            <w:tcW w:w="555" w:type="pct"/>
            <w:vAlign w:val="center"/>
          </w:tcPr>
          <w:p>
            <w:pPr>
              <w:spacing w:line="240" w:lineRule="exact"/>
              <w:jc w:val="center"/>
              <w:rPr>
                <w:rFonts w:eastAsia="仿宋_GB2312"/>
                <w:b/>
                <w:color w:val="auto"/>
                <w:sz w:val="18"/>
                <w:szCs w:val="18"/>
              </w:rPr>
            </w:pPr>
            <w:r>
              <w:rPr>
                <w:rFonts w:eastAsia="仿宋_GB2312"/>
                <w:b/>
                <w:color w:val="auto"/>
                <w:sz w:val="18"/>
                <w:szCs w:val="18"/>
              </w:rPr>
              <w:t>开课</w:t>
            </w:r>
          </w:p>
          <w:p>
            <w:pPr>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Align w:val="center"/>
          </w:tcPr>
          <w:p>
            <w:pPr>
              <w:spacing w:line="240" w:lineRule="exact"/>
              <w:jc w:val="center"/>
              <w:rPr>
                <w:rFonts w:eastAsia="仿宋_GB2312"/>
                <w:b/>
                <w:color w:val="auto"/>
                <w:sz w:val="18"/>
                <w:szCs w:val="18"/>
              </w:rPr>
            </w:pPr>
            <w:bookmarkStart w:id="0" w:name="OLE_LINK28" w:colFirst="3" w:colLast="3"/>
            <w:bookmarkStart w:id="1" w:name="_Hlk371083064"/>
            <w:bookmarkStart w:id="2" w:name="OLE_LINK10" w:colFirst="3" w:colLast="3"/>
            <w:bookmarkStart w:id="3" w:name="OLE_LINK27" w:colFirst="3" w:colLast="3"/>
            <w:r>
              <w:rPr>
                <w:rFonts w:eastAsia="仿宋_GB2312"/>
                <w:b/>
                <w:color w:val="auto"/>
                <w:sz w:val="18"/>
                <w:szCs w:val="18"/>
              </w:rPr>
              <w:t>入学教育、军训</w:t>
            </w:r>
          </w:p>
        </w:tc>
        <w:tc>
          <w:tcPr>
            <w:tcW w:w="54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1933" w:type="pct"/>
            <w:vAlign w:val="center"/>
          </w:tcPr>
          <w:p>
            <w:pPr>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437"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53"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590"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55" w:type="pct"/>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Merge w:val="restart"/>
            <w:vAlign w:val="center"/>
          </w:tcPr>
          <w:p>
            <w:pPr>
              <w:spacing w:line="240" w:lineRule="exact"/>
              <w:rPr>
                <w:rFonts w:eastAsia="仿宋_GB2312"/>
                <w:b/>
                <w:color w:val="auto"/>
                <w:sz w:val="18"/>
                <w:szCs w:val="18"/>
              </w:rPr>
            </w:pPr>
            <w:r>
              <w:rPr>
                <w:rFonts w:eastAsia="仿宋_GB2312"/>
                <w:b/>
                <w:color w:val="auto"/>
                <w:sz w:val="18"/>
                <w:szCs w:val="18"/>
              </w:rPr>
              <w:t>创新创业实践</w:t>
            </w:r>
          </w:p>
        </w:tc>
        <w:tc>
          <w:tcPr>
            <w:tcW w:w="54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193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437"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53" w:type="pct"/>
            <w:vAlign w:val="center"/>
          </w:tcPr>
          <w:p>
            <w:pPr>
              <w:spacing w:line="240" w:lineRule="exact"/>
              <w:jc w:val="center"/>
              <w:rPr>
                <w:rFonts w:eastAsia="仿宋_GB2312"/>
                <w:bCs/>
                <w:color w:val="auto"/>
                <w:sz w:val="18"/>
                <w:szCs w:val="18"/>
              </w:rPr>
            </w:pPr>
            <w:r>
              <w:rPr>
                <w:rFonts w:hint="eastAsia" w:eastAsia="仿宋_GB2312"/>
                <w:bCs/>
                <w:color w:val="auto"/>
                <w:kern w:val="0"/>
                <w:sz w:val="18"/>
                <w:szCs w:val="18"/>
              </w:rPr>
              <w:t>1</w:t>
            </w:r>
          </w:p>
        </w:tc>
        <w:tc>
          <w:tcPr>
            <w:tcW w:w="590"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555" w:type="pct"/>
            <w:vAlign w:val="center"/>
          </w:tcPr>
          <w:p>
            <w:pPr>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Merge w:val="continue"/>
            <w:vAlign w:val="center"/>
          </w:tcPr>
          <w:p>
            <w:pPr>
              <w:spacing w:line="240" w:lineRule="exact"/>
              <w:rPr>
                <w:rFonts w:eastAsia="仿宋_GB2312"/>
                <w:b/>
                <w:color w:val="auto"/>
                <w:sz w:val="18"/>
                <w:szCs w:val="18"/>
              </w:rPr>
            </w:pPr>
          </w:p>
        </w:tc>
        <w:tc>
          <w:tcPr>
            <w:tcW w:w="541" w:type="pct"/>
            <w:vAlign w:val="center"/>
          </w:tcPr>
          <w:p>
            <w:pPr>
              <w:spacing w:line="240" w:lineRule="exact"/>
              <w:jc w:val="center"/>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408002</w:t>
            </w:r>
            <w:r>
              <w:rPr>
                <w:rFonts w:hint="eastAsia" w:cs="Times New Roman"/>
                <w:i w:val="0"/>
                <w:color w:val="auto"/>
                <w:kern w:val="0"/>
                <w:sz w:val="18"/>
                <w:szCs w:val="18"/>
                <w:u w:val="none"/>
                <w:lang w:val="en-US" w:eastAsia="zh-CN" w:bidi="ar"/>
              </w:rPr>
              <w:t>5</w:t>
            </w:r>
          </w:p>
        </w:tc>
        <w:tc>
          <w:tcPr>
            <w:tcW w:w="193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437"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53" w:type="pct"/>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590"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555" w:type="pct"/>
            <w:vAlign w:val="center"/>
          </w:tcPr>
          <w:p>
            <w:pPr>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Align w:val="center"/>
          </w:tcPr>
          <w:p>
            <w:pPr>
              <w:spacing w:line="240" w:lineRule="exact"/>
              <w:jc w:val="center"/>
              <w:rPr>
                <w:rFonts w:eastAsia="仿宋_GB2312"/>
                <w:b/>
                <w:color w:val="auto"/>
                <w:sz w:val="18"/>
                <w:szCs w:val="18"/>
              </w:rPr>
            </w:pPr>
            <w:r>
              <w:rPr>
                <w:rFonts w:eastAsia="仿宋_GB2312"/>
                <w:b/>
                <w:color w:val="auto"/>
                <w:sz w:val="18"/>
                <w:szCs w:val="18"/>
              </w:rPr>
              <w:t>毕业教育</w:t>
            </w:r>
          </w:p>
        </w:tc>
        <w:tc>
          <w:tcPr>
            <w:tcW w:w="54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1933" w:type="pct"/>
            <w:vAlign w:val="center"/>
          </w:tcPr>
          <w:p>
            <w:pPr>
              <w:spacing w:line="240" w:lineRule="exact"/>
              <w:jc w:val="left"/>
              <w:rPr>
                <w:rFonts w:eastAsia="仿宋_GB2312"/>
                <w:bCs/>
                <w:color w:val="auto"/>
                <w:sz w:val="18"/>
                <w:szCs w:val="18"/>
              </w:rPr>
            </w:pPr>
            <w:r>
              <w:rPr>
                <w:rFonts w:eastAsia="仿宋_GB2312"/>
                <w:bCs/>
                <w:color w:val="auto"/>
                <w:sz w:val="18"/>
                <w:szCs w:val="18"/>
              </w:rPr>
              <w:t>毕业教育</w:t>
            </w:r>
          </w:p>
          <w:p>
            <w:pPr>
              <w:spacing w:line="240" w:lineRule="exact"/>
              <w:jc w:val="left"/>
              <w:rPr>
                <w:rFonts w:eastAsia="仿宋_GB2312"/>
                <w:bCs/>
                <w:color w:val="auto"/>
                <w:sz w:val="18"/>
                <w:szCs w:val="18"/>
              </w:rPr>
            </w:pPr>
            <w:r>
              <w:rPr>
                <w:rFonts w:eastAsia="仿宋_GB2312"/>
                <w:bCs/>
                <w:color w:val="auto"/>
                <w:sz w:val="18"/>
                <w:szCs w:val="18"/>
              </w:rPr>
              <w:t>Graduate Education</w:t>
            </w:r>
          </w:p>
        </w:tc>
        <w:tc>
          <w:tcPr>
            <w:tcW w:w="437"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353"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590"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555" w:type="pc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Merge w:val="restart"/>
            <w:vAlign w:val="center"/>
          </w:tcPr>
          <w:p>
            <w:pPr>
              <w:spacing w:line="240" w:lineRule="exact"/>
              <w:jc w:val="center"/>
              <w:rPr>
                <w:rFonts w:eastAsia="仿宋_GB2312"/>
                <w:bCs/>
                <w:color w:val="auto"/>
                <w:sz w:val="18"/>
                <w:szCs w:val="18"/>
              </w:rPr>
            </w:pPr>
            <w:r>
              <w:rPr>
                <w:rFonts w:eastAsia="仿宋_GB2312"/>
                <w:b/>
                <w:color w:val="auto"/>
                <w:sz w:val="18"/>
                <w:szCs w:val="18"/>
              </w:rPr>
              <w:t>教学实习</w:t>
            </w:r>
          </w:p>
        </w:tc>
        <w:tc>
          <w:tcPr>
            <w:tcW w:w="54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1933" w:type="pct"/>
            <w:vAlign w:val="center"/>
          </w:tcPr>
          <w:p>
            <w:pPr>
              <w:spacing w:line="240" w:lineRule="exact"/>
              <w:jc w:val="left"/>
              <w:rPr>
                <w:rFonts w:eastAsia="仿宋_GB2312"/>
                <w:bCs/>
                <w:color w:val="auto"/>
                <w:sz w:val="18"/>
                <w:szCs w:val="18"/>
              </w:rPr>
            </w:pPr>
            <w:r>
              <w:rPr>
                <w:rFonts w:eastAsia="仿宋_GB2312"/>
                <w:bCs/>
                <w:color w:val="auto"/>
                <w:sz w:val="18"/>
                <w:szCs w:val="18"/>
              </w:rPr>
              <w:t>大学生就业指导</w:t>
            </w:r>
          </w:p>
          <w:p>
            <w:pPr>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437"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53"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90"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555" w:type="pct"/>
            <w:vAlign w:val="center"/>
          </w:tcPr>
          <w:p>
            <w:pPr>
              <w:spacing w:line="240" w:lineRule="exact"/>
              <w:jc w:val="center"/>
              <w:rPr>
                <w:rFonts w:eastAsia="仿宋_GB2312"/>
                <w:bCs/>
                <w:color w:val="auto"/>
                <w:sz w:val="18"/>
                <w:szCs w:val="18"/>
              </w:rPr>
            </w:pPr>
            <w:r>
              <w:rPr>
                <w:rFonts w:eastAsia="仿宋_GB2312"/>
                <w:bCs/>
                <w:color w:val="auto"/>
                <w:sz w:val="18"/>
                <w:szCs w:val="18"/>
              </w:rPr>
              <w:t>创新创业学院</w:t>
            </w:r>
          </w:p>
        </w:tc>
      </w:tr>
      <w:bookmarkEnd w:id="0"/>
      <w:bookmarkEnd w:id="1"/>
      <w:bookmarkEnd w:id="2"/>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Merge w:val="continue"/>
            <w:vAlign w:val="center"/>
          </w:tcPr>
          <w:p>
            <w:pPr>
              <w:spacing w:line="240" w:lineRule="exact"/>
              <w:jc w:val="center"/>
              <w:rPr>
                <w:rFonts w:eastAsia="仿宋_GB2312"/>
                <w:bCs/>
                <w:color w:val="auto"/>
                <w:sz w:val="18"/>
                <w:szCs w:val="18"/>
              </w:rPr>
            </w:pPr>
          </w:p>
        </w:tc>
        <w:tc>
          <w:tcPr>
            <w:tcW w:w="54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4080001</w:t>
            </w:r>
          </w:p>
        </w:tc>
        <w:tc>
          <w:tcPr>
            <w:tcW w:w="1933" w:type="pct"/>
            <w:vAlign w:val="center"/>
          </w:tcPr>
          <w:p>
            <w:pPr>
              <w:spacing w:line="240" w:lineRule="exact"/>
              <w:jc w:val="left"/>
              <w:rPr>
                <w:rFonts w:eastAsia="仿宋_GB2312"/>
                <w:bCs/>
                <w:color w:val="auto"/>
                <w:sz w:val="18"/>
                <w:szCs w:val="18"/>
              </w:rPr>
            </w:pPr>
            <w:r>
              <w:rPr>
                <w:rFonts w:eastAsia="仿宋_GB2312"/>
                <w:bCs/>
                <w:color w:val="auto"/>
                <w:sz w:val="18"/>
                <w:szCs w:val="18"/>
              </w:rPr>
              <w:t>物流行业社会调查</w:t>
            </w:r>
          </w:p>
          <w:p>
            <w:pPr>
              <w:spacing w:line="240" w:lineRule="exact"/>
              <w:jc w:val="left"/>
              <w:rPr>
                <w:rFonts w:eastAsia="仿宋_GB2312"/>
                <w:bCs/>
                <w:color w:val="auto"/>
                <w:sz w:val="18"/>
                <w:szCs w:val="18"/>
              </w:rPr>
            </w:pPr>
            <w:r>
              <w:rPr>
                <w:rFonts w:eastAsia="仿宋_GB2312"/>
                <w:bCs/>
                <w:color w:val="auto"/>
                <w:sz w:val="18"/>
                <w:szCs w:val="18"/>
              </w:rPr>
              <w:t>Social survey of logistics industry</w:t>
            </w:r>
          </w:p>
        </w:tc>
        <w:tc>
          <w:tcPr>
            <w:tcW w:w="437"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53"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1</w:t>
            </w:r>
          </w:p>
        </w:tc>
        <w:tc>
          <w:tcPr>
            <w:tcW w:w="590"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555"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Merge w:val="continue"/>
            <w:vAlign w:val="center"/>
          </w:tcPr>
          <w:p>
            <w:pPr>
              <w:spacing w:line="240" w:lineRule="exact"/>
              <w:jc w:val="center"/>
              <w:rPr>
                <w:rFonts w:eastAsia="仿宋_GB2312"/>
                <w:bCs/>
                <w:color w:val="auto"/>
                <w:sz w:val="18"/>
                <w:szCs w:val="18"/>
              </w:rPr>
            </w:pPr>
          </w:p>
        </w:tc>
        <w:tc>
          <w:tcPr>
            <w:tcW w:w="54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4080263</w:t>
            </w:r>
          </w:p>
        </w:tc>
        <w:tc>
          <w:tcPr>
            <w:tcW w:w="1933" w:type="pct"/>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物流管理专业（3+2）科研训练与课程论文</w:t>
            </w:r>
          </w:p>
          <w:p>
            <w:pPr>
              <w:spacing w:line="240" w:lineRule="exact"/>
              <w:jc w:val="left"/>
              <w:rPr>
                <w:rFonts w:eastAsia="仿宋_GB2312"/>
                <w:bCs/>
                <w:color w:val="auto"/>
                <w:sz w:val="18"/>
                <w:szCs w:val="18"/>
              </w:rPr>
            </w:pPr>
            <w:r>
              <w:rPr>
                <w:rFonts w:eastAsia="仿宋_GB2312"/>
                <w:bCs/>
                <w:color w:val="auto"/>
                <w:sz w:val="18"/>
                <w:szCs w:val="18"/>
              </w:rPr>
              <w:t>Logistics Management Professional Scientific Research Training and Course Paper</w:t>
            </w:r>
          </w:p>
        </w:tc>
        <w:tc>
          <w:tcPr>
            <w:tcW w:w="437"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353" w:type="pct"/>
            <w:vAlign w:val="center"/>
          </w:tcPr>
          <w:p>
            <w:pPr>
              <w:spacing w:line="240" w:lineRule="exact"/>
              <w:jc w:val="center"/>
              <w:rPr>
                <w:rFonts w:eastAsia="仿宋_GB2312"/>
                <w:bCs/>
                <w:color w:val="auto"/>
                <w:sz w:val="18"/>
                <w:szCs w:val="18"/>
              </w:rPr>
            </w:pPr>
            <w:r>
              <w:rPr>
                <w:rFonts w:eastAsia="仿宋_GB2312"/>
                <w:bCs/>
                <w:color w:val="auto"/>
                <w:sz w:val="18"/>
                <w:szCs w:val="18"/>
              </w:rPr>
              <w:t>2-3</w:t>
            </w:r>
          </w:p>
        </w:tc>
        <w:tc>
          <w:tcPr>
            <w:tcW w:w="590" w:type="pct"/>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5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Merge w:val="continue"/>
            <w:vAlign w:val="center"/>
          </w:tcPr>
          <w:p>
            <w:pPr>
              <w:spacing w:line="240" w:lineRule="exact"/>
              <w:jc w:val="center"/>
              <w:rPr>
                <w:rFonts w:eastAsia="仿宋_GB2312"/>
                <w:bCs/>
                <w:color w:val="auto"/>
                <w:sz w:val="18"/>
                <w:szCs w:val="18"/>
              </w:rPr>
            </w:pPr>
          </w:p>
        </w:tc>
        <w:tc>
          <w:tcPr>
            <w:tcW w:w="54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4080218</w:t>
            </w:r>
          </w:p>
        </w:tc>
        <w:tc>
          <w:tcPr>
            <w:tcW w:w="1933" w:type="pct"/>
            <w:vAlign w:val="center"/>
          </w:tcPr>
          <w:p>
            <w:pPr>
              <w:spacing w:line="240" w:lineRule="exact"/>
              <w:jc w:val="left"/>
              <w:rPr>
                <w:rFonts w:eastAsia="仿宋_GB2312"/>
                <w:bCs/>
                <w:color w:val="auto"/>
                <w:sz w:val="18"/>
                <w:szCs w:val="18"/>
              </w:rPr>
            </w:pPr>
            <w:r>
              <w:rPr>
                <w:rFonts w:eastAsia="仿宋_GB2312"/>
                <w:bCs/>
                <w:color w:val="auto"/>
                <w:sz w:val="18"/>
                <w:szCs w:val="18"/>
              </w:rPr>
              <w:t>《物流系统仿真》课程设计</w:t>
            </w:r>
          </w:p>
          <w:p>
            <w:pPr>
              <w:spacing w:line="240" w:lineRule="exact"/>
              <w:jc w:val="left"/>
              <w:rPr>
                <w:rFonts w:eastAsia="仿宋_GB2312"/>
                <w:bCs/>
                <w:color w:val="auto"/>
                <w:sz w:val="18"/>
                <w:szCs w:val="18"/>
              </w:rPr>
            </w:pPr>
            <w:r>
              <w:rPr>
                <w:rFonts w:eastAsia="仿宋_GB2312"/>
                <w:bCs/>
                <w:color w:val="auto"/>
                <w:sz w:val="18"/>
                <w:szCs w:val="18"/>
              </w:rPr>
              <w:t>Course design of logistics system simulation</w:t>
            </w:r>
          </w:p>
        </w:tc>
        <w:tc>
          <w:tcPr>
            <w:tcW w:w="437"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353"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590" w:type="pct"/>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55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Merge w:val="continue"/>
            <w:vAlign w:val="center"/>
          </w:tcPr>
          <w:p>
            <w:pPr>
              <w:spacing w:line="240" w:lineRule="exact"/>
              <w:jc w:val="center"/>
              <w:rPr>
                <w:rFonts w:eastAsia="仿宋_GB2312"/>
                <w:bCs/>
                <w:color w:val="auto"/>
                <w:sz w:val="18"/>
                <w:szCs w:val="18"/>
              </w:rPr>
            </w:pPr>
          </w:p>
        </w:tc>
        <w:tc>
          <w:tcPr>
            <w:tcW w:w="54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4080226</w:t>
            </w:r>
          </w:p>
        </w:tc>
        <w:tc>
          <w:tcPr>
            <w:tcW w:w="1933" w:type="pct"/>
            <w:vAlign w:val="center"/>
          </w:tcPr>
          <w:p>
            <w:pPr>
              <w:spacing w:line="240" w:lineRule="exact"/>
              <w:jc w:val="left"/>
              <w:rPr>
                <w:rFonts w:eastAsia="仿宋_GB2312"/>
                <w:bCs/>
                <w:color w:val="auto"/>
                <w:sz w:val="18"/>
                <w:szCs w:val="18"/>
              </w:rPr>
            </w:pPr>
            <w:r>
              <w:rPr>
                <w:rFonts w:eastAsia="仿宋_GB2312"/>
                <w:bCs/>
                <w:color w:val="auto"/>
                <w:sz w:val="18"/>
                <w:szCs w:val="18"/>
              </w:rPr>
              <w:t>电商物流综合仿真实训</w:t>
            </w:r>
          </w:p>
          <w:p>
            <w:pPr>
              <w:spacing w:line="240" w:lineRule="exact"/>
              <w:jc w:val="left"/>
              <w:rPr>
                <w:rFonts w:eastAsia="仿宋_GB2312"/>
                <w:bCs/>
                <w:color w:val="auto"/>
                <w:sz w:val="18"/>
                <w:szCs w:val="18"/>
              </w:rPr>
            </w:pPr>
            <w:r>
              <w:rPr>
                <w:rFonts w:eastAsia="仿宋_GB2312"/>
                <w:bCs/>
                <w:color w:val="auto"/>
                <w:sz w:val="18"/>
                <w:szCs w:val="18"/>
              </w:rPr>
              <w:t>Comprehensive simulation training of e-commerce logistics</w:t>
            </w:r>
          </w:p>
        </w:tc>
        <w:tc>
          <w:tcPr>
            <w:tcW w:w="437" w:type="pct"/>
            <w:vAlign w:val="center"/>
          </w:tcPr>
          <w:p>
            <w:pPr>
              <w:spacing w:line="240" w:lineRule="exact"/>
              <w:jc w:val="center"/>
              <w:rPr>
                <w:rFonts w:eastAsia="仿宋_GB2312"/>
                <w:bCs/>
                <w:color w:val="auto"/>
                <w:sz w:val="18"/>
                <w:szCs w:val="18"/>
              </w:rPr>
            </w:pPr>
            <w:r>
              <w:rPr>
                <w:rFonts w:eastAsia="仿宋_GB2312"/>
                <w:bCs/>
                <w:color w:val="auto"/>
                <w:sz w:val="18"/>
                <w:szCs w:val="18"/>
              </w:rPr>
              <w:t>5.0</w:t>
            </w:r>
          </w:p>
        </w:tc>
        <w:tc>
          <w:tcPr>
            <w:tcW w:w="353"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590"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55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Merge w:val="restart"/>
            <w:vAlign w:val="center"/>
          </w:tcPr>
          <w:p>
            <w:pPr>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54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4080262</w:t>
            </w:r>
          </w:p>
        </w:tc>
        <w:tc>
          <w:tcPr>
            <w:tcW w:w="1933" w:type="pct"/>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物流管理专业（3+2）毕业实习</w:t>
            </w:r>
            <w:r>
              <w:rPr>
                <w:rFonts w:hint="eastAsia" w:eastAsia="仿宋_GB2312"/>
                <w:bCs/>
                <w:color w:val="auto"/>
                <w:sz w:val="18"/>
                <w:szCs w:val="18"/>
              </w:rPr>
              <w:t>（含劳动实践）</w:t>
            </w:r>
          </w:p>
          <w:p>
            <w:pPr>
              <w:spacing w:line="240" w:lineRule="exact"/>
              <w:jc w:val="left"/>
              <w:rPr>
                <w:rFonts w:eastAsia="仿宋_GB2312"/>
                <w:bCs/>
                <w:color w:val="auto"/>
                <w:sz w:val="18"/>
                <w:szCs w:val="18"/>
              </w:rPr>
            </w:pPr>
            <w:r>
              <w:rPr>
                <w:rFonts w:eastAsia="仿宋_GB2312"/>
                <w:bCs/>
                <w:color w:val="auto"/>
                <w:sz w:val="18"/>
                <w:szCs w:val="18"/>
              </w:rPr>
              <w:t>Logistics Management Professional Graduation Practice</w:t>
            </w:r>
            <w:r>
              <w:rPr>
                <w:rFonts w:hint="eastAsia" w:eastAsia="仿宋_GB2312"/>
                <w:bCs/>
                <w:color w:val="auto"/>
                <w:sz w:val="18"/>
                <w:szCs w:val="18"/>
              </w:rPr>
              <w:t>（Labor practice）</w:t>
            </w:r>
          </w:p>
        </w:tc>
        <w:tc>
          <w:tcPr>
            <w:tcW w:w="437"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4</w:t>
            </w:r>
            <w:r>
              <w:rPr>
                <w:rFonts w:eastAsia="仿宋_GB2312"/>
                <w:bCs/>
                <w:color w:val="auto"/>
                <w:sz w:val="18"/>
                <w:szCs w:val="18"/>
              </w:rPr>
              <w:t>.0</w:t>
            </w:r>
          </w:p>
        </w:tc>
        <w:tc>
          <w:tcPr>
            <w:tcW w:w="353"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r>
              <w:rPr>
                <w:rFonts w:hint="eastAsia" w:eastAsia="仿宋_GB2312"/>
                <w:bCs/>
                <w:color w:val="auto"/>
                <w:sz w:val="18"/>
                <w:szCs w:val="18"/>
              </w:rPr>
              <w:t>（含第3学期寒假）</w:t>
            </w:r>
          </w:p>
        </w:tc>
        <w:tc>
          <w:tcPr>
            <w:tcW w:w="590"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8</w:t>
            </w:r>
          </w:p>
        </w:tc>
        <w:tc>
          <w:tcPr>
            <w:tcW w:w="555"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8" w:type="pct"/>
            <w:vMerge w:val="continue"/>
            <w:vAlign w:val="center"/>
          </w:tcPr>
          <w:p>
            <w:pPr>
              <w:spacing w:line="240" w:lineRule="exact"/>
              <w:jc w:val="center"/>
              <w:rPr>
                <w:rFonts w:eastAsia="仿宋_GB2312"/>
                <w:bCs/>
                <w:color w:val="auto"/>
                <w:sz w:val="18"/>
                <w:szCs w:val="18"/>
              </w:rPr>
            </w:pPr>
          </w:p>
        </w:tc>
        <w:tc>
          <w:tcPr>
            <w:tcW w:w="54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4080261</w:t>
            </w:r>
          </w:p>
        </w:tc>
        <w:tc>
          <w:tcPr>
            <w:tcW w:w="1933" w:type="pct"/>
            <w:vAlign w:val="center"/>
          </w:tcPr>
          <w:p>
            <w:pPr>
              <w:spacing w:line="240" w:lineRule="exact"/>
              <w:jc w:val="left"/>
              <w:rPr>
                <w:rFonts w:eastAsia="仿宋_GB2312"/>
                <w:bCs/>
                <w:color w:val="auto"/>
                <w:sz w:val="18"/>
                <w:szCs w:val="18"/>
              </w:rPr>
            </w:pPr>
            <w:r>
              <w:rPr>
                <w:rFonts w:eastAsia="仿宋_GB2312"/>
                <w:bCs/>
                <w:color w:val="auto"/>
                <w:sz w:val="18"/>
                <w:szCs w:val="18"/>
              </w:rPr>
              <w:t>物流管理专业（3+2）毕业论文（设计）</w:t>
            </w:r>
          </w:p>
          <w:p>
            <w:pPr>
              <w:spacing w:line="240" w:lineRule="exact"/>
              <w:jc w:val="left"/>
              <w:rPr>
                <w:rFonts w:eastAsia="仿宋_GB2312"/>
                <w:bCs/>
                <w:color w:val="auto"/>
                <w:sz w:val="18"/>
                <w:szCs w:val="18"/>
              </w:rPr>
            </w:pPr>
            <w:r>
              <w:rPr>
                <w:rFonts w:eastAsia="仿宋_GB2312"/>
                <w:bCs/>
                <w:color w:val="auto"/>
                <w:sz w:val="18"/>
                <w:szCs w:val="18"/>
              </w:rPr>
              <w:t>Logistics Management Professional Graduation Thesis (Design)</w:t>
            </w:r>
          </w:p>
        </w:tc>
        <w:tc>
          <w:tcPr>
            <w:tcW w:w="437"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6</w:t>
            </w:r>
            <w:r>
              <w:rPr>
                <w:rFonts w:eastAsia="仿宋_GB2312"/>
                <w:bCs/>
                <w:color w:val="auto"/>
                <w:sz w:val="18"/>
                <w:szCs w:val="18"/>
              </w:rPr>
              <w:t>.0</w:t>
            </w:r>
          </w:p>
        </w:tc>
        <w:tc>
          <w:tcPr>
            <w:tcW w:w="353"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590"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14</w:t>
            </w:r>
          </w:p>
        </w:tc>
        <w:tc>
          <w:tcPr>
            <w:tcW w:w="555" w:type="pct"/>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63" w:type="pct"/>
            <w:gridSpan w:val="3"/>
            <w:vAlign w:val="center"/>
          </w:tcPr>
          <w:p>
            <w:pPr>
              <w:spacing w:line="240" w:lineRule="exact"/>
              <w:jc w:val="center"/>
              <w:rPr>
                <w:rFonts w:eastAsia="仿宋_GB2312"/>
                <w:b/>
                <w:color w:val="auto"/>
                <w:sz w:val="18"/>
                <w:szCs w:val="18"/>
              </w:rPr>
            </w:pPr>
            <w:r>
              <w:rPr>
                <w:rFonts w:eastAsia="仿宋_GB2312"/>
                <w:b/>
                <w:color w:val="auto"/>
                <w:sz w:val="18"/>
                <w:szCs w:val="18"/>
              </w:rPr>
              <w:t>合计</w:t>
            </w:r>
          </w:p>
        </w:tc>
        <w:tc>
          <w:tcPr>
            <w:tcW w:w="437" w:type="pct"/>
            <w:vAlign w:val="center"/>
          </w:tcPr>
          <w:p>
            <w:pPr>
              <w:spacing w:line="240" w:lineRule="exact"/>
              <w:jc w:val="center"/>
              <w:rPr>
                <w:rFonts w:eastAsia="仿宋_GB2312"/>
                <w:b/>
                <w:color w:val="auto"/>
                <w:sz w:val="18"/>
                <w:szCs w:val="18"/>
              </w:rPr>
            </w:pPr>
            <w:r>
              <w:rPr>
                <w:rFonts w:eastAsia="仿宋_GB2312"/>
                <w:b/>
                <w:color w:val="auto"/>
                <w:sz w:val="18"/>
                <w:szCs w:val="18"/>
              </w:rPr>
              <w:t>2</w:t>
            </w:r>
            <w:r>
              <w:rPr>
                <w:rFonts w:hint="eastAsia" w:eastAsia="仿宋_GB2312"/>
                <w:b/>
                <w:color w:val="auto"/>
                <w:sz w:val="18"/>
                <w:szCs w:val="18"/>
              </w:rPr>
              <w:t>5</w:t>
            </w:r>
          </w:p>
        </w:tc>
        <w:tc>
          <w:tcPr>
            <w:tcW w:w="353" w:type="pct"/>
            <w:vAlign w:val="center"/>
          </w:tcPr>
          <w:p>
            <w:pPr>
              <w:spacing w:line="240" w:lineRule="exact"/>
              <w:jc w:val="center"/>
              <w:rPr>
                <w:rFonts w:eastAsia="仿宋_GB2312"/>
                <w:b/>
                <w:color w:val="auto"/>
                <w:sz w:val="18"/>
                <w:szCs w:val="18"/>
              </w:rPr>
            </w:pPr>
          </w:p>
        </w:tc>
        <w:tc>
          <w:tcPr>
            <w:tcW w:w="590" w:type="pct"/>
            <w:vAlign w:val="center"/>
          </w:tcPr>
          <w:p>
            <w:pPr>
              <w:spacing w:line="240" w:lineRule="exact"/>
              <w:jc w:val="center"/>
              <w:rPr>
                <w:rFonts w:eastAsia="仿宋_GB2312"/>
                <w:b/>
                <w:color w:val="auto"/>
                <w:sz w:val="18"/>
                <w:szCs w:val="18"/>
              </w:rPr>
            </w:pPr>
            <w:r>
              <w:rPr>
                <w:rFonts w:eastAsia="仿宋_GB2312"/>
                <w:b/>
                <w:color w:val="auto"/>
                <w:sz w:val="18"/>
                <w:szCs w:val="18"/>
              </w:rPr>
              <w:t>30+（1</w:t>
            </w:r>
            <w:r>
              <w:rPr>
                <w:rFonts w:hint="eastAsia" w:eastAsia="仿宋_GB2312"/>
                <w:b/>
                <w:color w:val="auto"/>
                <w:sz w:val="18"/>
                <w:szCs w:val="18"/>
              </w:rPr>
              <w:t>2</w:t>
            </w:r>
            <w:r>
              <w:rPr>
                <w:rFonts w:eastAsia="仿宋_GB2312"/>
                <w:b/>
                <w:color w:val="auto"/>
                <w:sz w:val="18"/>
                <w:szCs w:val="18"/>
              </w:rPr>
              <w:t>）</w:t>
            </w:r>
          </w:p>
        </w:tc>
        <w:tc>
          <w:tcPr>
            <w:tcW w:w="555" w:type="pct"/>
            <w:vAlign w:val="center"/>
          </w:tcPr>
          <w:p>
            <w:pPr>
              <w:spacing w:line="240" w:lineRule="exact"/>
              <w:jc w:val="center"/>
              <w:rPr>
                <w:rFonts w:eastAsia="仿宋_GB2312"/>
                <w:b/>
                <w:color w:val="auto"/>
                <w:sz w:val="18"/>
                <w:szCs w:val="18"/>
              </w:rPr>
            </w:pPr>
          </w:p>
        </w:tc>
      </w:tr>
    </w:tbl>
    <w:p>
      <w:pPr>
        <w:adjustRightInd w:val="0"/>
        <w:spacing w:before="240" w:beforeLines="100" w:line="360" w:lineRule="auto"/>
        <w:ind w:firstLine="600" w:firstLineChars="200"/>
        <w:rPr>
          <w:rFonts w:eastAsia="黑体"/>
          <w:bCs/>
          <w:color w:val="auto"/>
          <w:sz w:val="30"/>
          <w:szCs w:val="30"/>
        </w:rPr>
        <w:sectPr>
          <w:footerReference r:id="rId5" w:type="default"/>
          <w:footerReference r:id="rId6" w:type="even"/>
          <w:pgSz w:w="11906" w:h="16838"/>
          <w:pgMar w:top="1531" w:right="1361" w:bottom="1021" w:left="1588" w:header="851" w:footer="1531" w:gutter="0"/>
          <w:cols w:space="720" w:num="1"/>
          <w:docGrid w:linePitch="312" w:charSpace="117"/>
        </w:sectPr>
      </w:pPr>
    </w:p>
    <w:p>
      <w:pPr>
        <w:adjustRightInd w:val="0"/>
        <w:spacing w:before="240" w:beforeLines="100" w:line="360" w:lineRule="auto"/>
        <w:ind w:firstLine="600" w:firstLineChars="200"/>
        <w:rPr>
          <w:rFonts w:eastAsia="黑体"/>
          <w:bCs/>
          <w:color w:val="auto"/>
          <w:sz w:val="30"/>
          <w:szCs w:val="30"/>
        </w:rPr>
      </w:pPr>
      <w:r>
        <w:rPr>
          <w:rFonts w:eastAsia="黑体"/>
          <w:bCs/>
          <w:color w:val="auto"/>
          <w:sz w:val="30"/>
          <w:szCs w:val="30"/>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物流管理专业（3+2）课程介绍及修读指导意见</w:t>
      </w:r>
    </w:p>
    <w:tbl>
      <w:tblPr>
        <w:tblStyle w:val="23"/>
        <w:tblW w:w="14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806"/>
        <w:gridCol w:w="2200"/>
        <w:gridCol w:w="7936"/>
        <w:gridCol w:w="2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84" w:type="dxa"/>
            <w:gridSpan w:val="2"/>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课程类别</w:t>
            </w:r>
          </w:p>
        </w:tc>
        <w:tc>
          <w:tcPr>
            <w:tcW w:w="2200"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课程名称</w:t>
            </w:r>
          </w:p>
        </w:tc>
        <w:tc>
          <w:tcPr>
            <w:tcW w:w="7936"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课程介绍</w:t>
            </w:r>
          </w:p>
        </w:tc>
        <w:tc>
          <w:tcPr>
            <w:tcW w:w="2585"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jc w:val="center"/>
              <w:rPr>
                <w:rFonts w:eastAsia="仿宋_GB2312"/>
                <w:b/>
                <w:bCs/>
                <w:color w:val="auto"/>
                <w:sz w:val="18"/>
                <w:szCs w:val="18"/>
              </w:rPr>
            </w:pPr>
            <w:r>
              <w:rPr>
                <w:rFonts w:hint="eastAsia" w:eastAsia="仿宋_GB2312"/>
                <w:b/>
                <w:bCs/>
                <w:color w:val="auto"/>
                <w:sz w:val="18"/>
                <w:szCs w:val="18"/>
              </w:rPr>
              <w:t>通识课程</w:t>
            </w:r>
          </w:p>
        </w:tc>
        <w:tc>
          <w:tcPr>
            <w:tcW w:w="806" w:type="dxa"/>
            <w:vMerge w:val="restart"/>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必修</w:t>
            </w:r>
          </w:p>
        </w:tc>
        <w:tc>
          <w:tcPr>
            <w:tcW w:w="2200" w:type="dxa"/>
            <w:vAlign w:val="center"/>
          </w:tcPr>
          <w:p>
            <w:pPr>
              <w:spacing w:line="240" w:lineRule="exact"/>
              <w:rPr>
                <w:rFonts w:eastAsia="仿宋_GB2312"/>
                <w:color w:val="auto"/>
                <w:sz w:val="18"/>
                <w:szCs w:val="18"/>
              </w:rPr>
            </w:pPr>
            <w:r>
              <w:rPr>
                <w:rFonts w:hint="eastAsia" w:eastAsia="仿宋_GB2312"/>
                <w:color w:val="auto"/>
                <w:kern w:val="0"/>
                <w:sz w:val="18"/>
                <w:szCs w:val="18"/>
              </w:rPr>
              <w:t>1.</w:t>
            </w:r>
            <w:r>
              <w:rPr>
                <w:rFonts w:eastAsia="仿宋_GB2312"/>
                <w:color w:val="auto"/>
                <w:kern w:val="0"/>
                <w:sz w:val="18"/>
                <w:szCs w:val="18"/>
              </w:rPr>
              <w:t>马克思主义基本原理</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中国近现代史纲要</w:t>
            </w:r>
          </w:p>
        </w:tc>
        <w:tc>
          <w:tcPr>
            <w:tcW w:w="7936"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要求学生掌握中国近代以来的国史、国情。提高运用科学的历史观和方法论分析历史问题、辨别历史是非的能力。了解四大选择的历史必然性和客观规律。</w:t>
            </w:r>
          </w:p>
        </w:tc>
        <w:tc>
          <w:tcPr>
            <w:tcW w:w="258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先修课程：《思想道德修养与法律基础》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大学生职业生涯规划</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2585"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4.</w:t>
            </w:r>
            <w:r>
              <w:rPr>
                <w:rFonts w:eastAsia="仿宋_GB2312"/>
                <w:color w:val="auto"/>
                <w:sz w:val="18"/>
                <w:szCs w:val="18"/>
              </w:rPr>
              <w:t>创业基础</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授课方式：借助智慧树在线教育平台完成课程的理论学习部分，线下由授课老师指导团队创业实践模拟。</w:t>
            </w:r>
          </w:p>
        </w:tc>
        <w:tc>
          <w:tcPr>
            <w:tcW w:w="2585"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12721" w:type="dxa"/>
            <w:gridSpan w:val="3"/>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学科（专业）基础课程</w:t>
            </w:r>
          </w:p>
        </w:tc>
        <w:tc>
          <w:tcPr>
            <w:tcW w:w="806"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物流管理专业导论</w:t>
            </w:r>
          </w:p>
        </w:tc>
        <w:tc>
          <w:tcPr>
            <w:tcW w:w="7936"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本课程帮助学生了解物流管理专业特色和学科发展前沿，开阔学生的专业视野，巩固学生的专业思想，培养学生的物流生态意识。</w:t>
            </w:r>
          </w:p>
        </w:tc>
        <w:tc>
          <w:tcPr>
            <w:tcW w:w="2585"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rPr>
              <w:t>2.</w:t>
            </w:r>
            <w:r>
              <w:rPr>
                <w:rFonts w:hint="eastAsia" w:eastAsia="仿宋_GB2312"/>
                <w:color w:val="auto"/>
                <w:sz w:val="18"/>
                <w:szCs w:val="18"/>
                <w:lang w:eastAsia="zh-CN"/>
              </w:rPr>
              <w:t>经济学原理E</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对市场经济运行机制的一般原理和规范行为有详尽的了解，并能运用一些基本的经济分析方法和工具，对有关理论和模型进行实证性的描述和分析。</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先修课程《高等数学》。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rPr>
              <w:t>3.</w:t>
            </w:r>
            <w:r>
              <w:rPr>
                <w:rFonts w:hint="eastAsia" w:eastAsia="仿宋_GB2312"/>
                <w:color w:val="auto"/>
                <w:sz w:val="18"/>
                <w:szCs w:val="18"/>
                <w:lang w:eastAsia="zh-CN"/>
              </w:rPr>
              <w:t>统计学原理C</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主要讲述统计学的基本理论、基本方法，培养学生具有采集数据、设计调查问卷和处理调查数据的基本能力；具有灵活应用所学的统计学理论和方法，分析和解决社会经济管理领域实际问题的基本能力。</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经济学原理E</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hint="eastAsia" w:eastAsia="仿宋_GB2312"/>
                <w:color w:val="auto"/>
                <w:sz w:val="18"/>
                <w:szCs w:val="18"/>
                <w:lang w:val="en-US" w:eastAsia="zh-CN"/>
              </w:rPr>
            </w:pPr>
            <w:r>
              <w:rPr>
                <w:rFonts w:hint="eastAsia" w:eastAsia="仿宋_GB2312"/>
                <w:color w:val="auto"/>
                <w:sz w:val="18"/>
                <w:szCs w:val="18"/>
              </w:rPr>
              <w:t>4.</w:t>
            </w:r>
            <w:r>
              <w:rPr>
                <w:rFonts w:eastAsia="仿宋_GB2312"/>
                <w:color w:val="auto"/>
                <w:sz w:val="18"/>
                <w:szCs w:val="18"/>
              </w:rPr>
              <w:t>管理学</w:t>
            </w:r>
            <w:r>
              <w:rPr>
                <w:rFonts w:hint="eastAsia" w:eastAsia="仿宋_GB2312"/>
                <w:color w:val="auto"/>
                <w:sz w:val="18"/>
                <w:szCs w:val="18"/>
                <w:lang w:val="en-US" w:eastAsia="zh-CN"/>
              </w:rPr>
              <w:t>B</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通过本课程的学习，使学生系统地了解管理、管理技能等相关概念，了解管理理论的发展过程和发展趋势，理解组织文化、环境、管理伦理的基本含义、内容以及对组织管理的影响，掌握计划、组织、领导、控制几大管理职能的基本概念、作用、基本原理和方法，领会各管理职能之间的相互关系。</w:t>
            </w:r>
          </w:p>
        </w:tc>
        <w:tc>
          <w:tcPr>
            <w:tcW w:w="2585"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5.</w:t>
            </w:r>
            <w:r>
              <w:rPr>
                <w:rFonts w:eastAsia="仿宋_GB2312"/>
                <w:color w:val="auto"/>
                <w:sz w:val="18"/>
                <w:szCs w:val="18"/>
              </w:rPr>
              <w:t>会计学原理</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本课程主要内容包括会计的基本理论、基本方法及基本技能。通过本课程的学习，学生应掌握复式记账方法、会计凭证的填制、会计账簿的登记、成本计算、财产清查、会计报表的编制等会计核算方法，能正确理解、掌握和使用会计信息；能够借助会计学的知识，在生产经营和管理活动中做出正确的判断和决策。</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后续课程《财务管理》。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6.</w:t>
            </w:r>
            <w:r>
              <w:rPr>
                <w:rFonts w:eastAsia="仿宋_GB2312"/>
                <w:color w:val="auto"/>
                <w:sz w:val="18"/>
                <w:szCs w:val="18"/>
              </w:rPr>
              <w:t>管理运筹学</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掌握运筹学的基本原理和方法，培养学生运用该学科知识分析、解决实际问题的能力，训练学生科学决策的能力；提高学生使用定量分析方法解决实际问题能力；;培养学生确立数学抽象思维能力、逻辑思维能力、求解数学模型的计算能力。</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w:t>
            </w:r>
            <w:r>
              <w:rPr>
                <w:rFonts w:eastAsia="仿宋_GB2312"/>
                <w:color w:val="auto"/>
                <w:sz w:val="18"/>
                <w:szCs w:val="18"/>
              </w:rPr>
              <w:t>》，后续课程《物流系统</w:t>
            </w:r>
            <w:r>
              <w:rPr>
                <w:rFonts w:hint="eastAsia" w:eastAsia="仿宋_GB2312"/>
                <w:color w:val="auto"/>
                <w:sz w:val="18"/>
                <w:szCs w:val="18"/>
              </w:rPr>
              <w:t>仿真</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rPr>
              <w:t>7.</w:t>
            </w:r>
            <w:r>
              <w:rPr>
                <w:rFonts w:hint="eastAsia" w:eastAsia="仿宋_GB2312"/>
                <w:color w:val="auto"/>
                <w:sz w:val="18"/>
                <w:szCs w:val="18"/>
                <w:lang w:eastAsia="zh-CN"/>
              </w:rPr>
              <w:t>管理信息系统A</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了解</w:t>
            </w:r>
            <w:r>
              <w:rPr>
                <w:rFonts w:hint="eastAsia" w:eastAsia="仿宋_GB2312"/>
                <w:color w:val="auto"/>
                <w:sz w:val="18"/>
                <w:szCs w:val="18"/>
                <w:lang w:eastAsia="zh-CN"/>
              </w:rPr>
              <w:t>管理信息系统</w:t>
            </w:r>
            <w:r>
              <w:rPr>
                <w:rFonts w:eastAsia="仿宋_GB2312"/>
                <w:color w:val="auto"/>
                <w:sz w:val="18"/>
                <w:szCs w:val="18"/>
              </w:rPr>
              <w:t>的基本理论；掌握从</w:t>
            </w:r>
            <w:r>
              <w:rPr>
                <w:rFonts w:hint="eastAsia" w:eastAsia="仿宋_GB2312"/>
                <w:color w:val="auto"/>
                <w:sz w:val="18"/>
                <w:szCs w:val="18"/>
                <w:lang w:eastAsia="zh-CN"/>
              </w:rPr>
              <w:t>管理信息系统</w:t>
            </w:r>
            <w:r>
              <w:rPr>
                <w:rFonts w:eastAsia="仿宋_GB2312"/>
                <w:color w:val="auto"/>
                <w:sz w:val="18"/>
                <w:szCs w:val="18"/>
              </w:rPr>
              <w:t>规划和开发、系统设计、系统分析、系统实施、系统运行和评价过程中涉及到的基本原理、技术和方法。</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先修课程《管理学</w:t>
            </w:r>
            <w:r>
              <w:rPr>
                <w:rFonts w:hint="eastAsia" w:eastAsia="仿宋_GB2312"/>
                <w:color w:val="auto"/>
                <w:sz w:val="18"/>
                <w:szCs w:val="18"/>
              </w:rPr>
              <w:t>I</w:t>
            </w:r>
            <w:r>
              <w:rPr>
                <w:rFonts w:eastAsia="仿宋_GB2312"/>
                <w:color w:val="auto"/>
                <w:sz w:val="18"/>
                <w:szCs w:val="18"/>
              </w:rPr>
              <w:t>》、《计算机基础》。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8.</w:t>
            </w:r>
            <w:r>
              <w:rPr>
                <w:rFonts w:hint="eastAsia" w:eastAsia="仿宋_GB2312"/>
                <w:color w:val="auto"/>
                <w:sz w:val="18"/>
                <w:szCs w:val="18"/>
                <w:lang w:eastAsia="zh-CN"/>
              </w:rPr>
              <w:t>管理信息系统A</w:t>
            </w:r>
            <w:r>
              <w:rPr>
                <w:rFonts w:eastAsia="仿宋_GB2312"/>
                <w:color w:val="auto"/>
                <w:sz w:val="18"/>
                <w:szCs w:val="18"/>
              </w:rPr>
              <w:t>实验</w:t>
            </w:r>
          </w:p>
        </w:tc>
        <w:tc>
          <w:tcPr>
            <w:tcW w:w="7936"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本课程通过软件实验形式，是学生深刻理解如何在组织中有效利用信息、信息技术和人三种资源，实现组织目标。</w:t>
            </w:r>
          </w:p>
        </w:tc>
        <w:tc>
          <w:tcPr>
            <w:tcW w:w="2585"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同步课程《</w:t>
            </w:r>
            <w:r>
              <w:rPr>
                <w:rFonts w:hint="eastAsia" w:eastAsia="仿宋_GB2312"/>
                <w:color w:val="auto"/>
                <w:sz w:val="18"/>
                <w:szCs w:val="18"/>
                <w:lang w:eastAsia="zh-CN"/>
              </w:rPr>
              <w:t>管理信息系统A</w:t>
            </w:r>
            <w:r>
              <w:rPr>
                <w:rFonts w:eastAsia="仿宋_GB2312"/>
                <w:color w:val="auto"/>
                <w:sz w:val="18"/>
                <w:szCs w:val="18"/>
              </w:rPr>
              <w:t>》</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专业课程</w:t>
            </w:r>
          </w:p>
        </w:tc>
        <w:tc>
          <w:tcPr>
            <w:tcW w:w="806"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供应链管理</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该课程主要讲述供应链的基本理论和方法。培养学生从供应链的角度来思考企业管理的问题，掌握供应链管理环境下供应链的构建、采购管理、库存控制、生产管理、绩效评价的策略和技术。有助于学生专业知识体系的完整构建，提高其分析问题、解决问题的能力。</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物流系统</w:t>
            </w:r>
            <w:r>
              <w:rPr>
                <w:rFonts w:hint="eastAsia" w:eastAsia="仿宋_GB2312"/>
                <w:color w:val="auto"/>
                <w:sz w:val="18"/>
                <w:szCs w:val="18"/>
              </w:rPr>
              <w:t>仿真</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该课程主要内容包括物流系统概述、物流系统整体规划与战略选择、物流网络结构与节点设计、物流运输方式与运输方案制定、物流设施设备与规划设计、物流系统规划方案管理与绩效评价等。使学生能够从物流系统规划与设计的基本理论和方法出发，分析和解决现实经济生活中出现的问题，为今后进一步学习和研究打下良好的理论基础。</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先修课程《物流管理》、《管理运筹学》</w:t>
            </w:r>
            <w:r>
              <w:rPr>
                <w:rFonts w:hint="eastAsia" w:eastAsia="仿宋_GB2312"/>
                <w:color w:val="auto"/>
                <w:sz w:val="18"/>
                <w:szCs w:val="18"/>
              </w:rPr>
              <w:t>、</w:t>
            </w:r>
            <w:r>
              <w:rPr>
                <w:rFonts w:eastAsia="仿宋_GB2312"/>
                <w:color w:val="auto"/>
                <w:sz w:val="18"/>
                <w:szCs w:val="18"/>
              </w:rPr>
              <w:t>《物流配送管理》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3.物流系统仿真实验</w:t>
            </w:r>
          </w:p>
        </w:tc>
        <w:tc>
          <w:tcPr>
            <w:tcW w:w="7936"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本课程运用仿真软件构建系统仿真模型，加深对物流系统的结构、功能以及物流系统分析与优化等方面知识的了解。通过仿真软件的操作，加速学生对专业知识的理解与基本技能的应用，提高学生在专业学习的主动性，思考能力，有助于提高学生解决实际问题的能力。</w:t>
            </w:r>
          </w:p>
        </w:tc>
        <w:tc>
          <w:tcPr>
            <w:tcW w:w="2585"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同步课程《物流系统仿真》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rPr>
              <w:t>4.</w:t>
            </w:r>
            <w:r>
              <w:rPr>
                <w:rFonts w:hint="eastAsia" w:eastAsia="仿宋_GB2312"/>
                <w:color w:val="auto"/>
                <w:sz w:val="18"/>
                <w:szCs w:val="18"/>
                <w:lang w:eastAsia="zh-CN"/>
              </w:rPr>
              <w:t>农产品物流学A</w:t>
            </w:r>
          </w:p>
        </w:tc>
        <w:tc>
          <w:tcPr>
            <w:tcW w:w="7936"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该课程主要讲述农产品物流的有关基本概念、发展过程、发展趋势；农产品物流的运作系统、信息系统的运作体系；培养学生对我国农产品物流的发展情况形成较为完整的认识的能力。</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先修课程《物流管理》。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5.</w:t>
            </w:r>
            <w:r>
              <w:rPr>
                <w:rFonts w:eastAsia="仿宋_GB2312"/>
                <w:color w:val="auto"/>
                <w:sz w:val="18"/>
                <w:szCs w:val="18"/>
              </w:rPr>
              <w:t>物流信息系统</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该课程主要讲述物流信息技术概述、物流条码技术、射频识别技术、全球卫星定位系统、地理信息系统、网络技术与数据库技术、物流EDI技术等内容，使学生掌握条码、RFID、EDI、GIS/GPS的概念、构成、工作原理，掌握仓储管理系统、计算机辅助拣货系统和无线射频信息系统的功能构架；能够熟练使用条码/RFID扫描工具进行物体扫描、 熟悉GPS的使用。培养学生仔细认真做事的作风和积极丰富的实践动手能力。</w:t>
            </w:r>
          </w:p>
        </w:tc>
        <w:tc>
          <w:tcPr>
            <w:tcW w:w="2585" w:type="dxa"/>
            <w:vAlign w:val="center"/>
          </w:tcPr>
          <w:p>
            <w:pPr>
              <w:spacing w:line="240" w:lineRule="exact"/>
              <w:rPr>
                <w:rFonts w:eastAsia="仿宋_GB2312"/>
                <w:color w:val="auto"/>
                <w:sz w:val="18"/>
                <w:szCs w:val="18"/>
              </w:rPr>
            </w:pPr>
            <w:r>
              <w:rPr>
                <w:rFonts w:eastAsia="仿宋_GB2312"/>
                <w:color w:val="auto"/>
                <w:sz w:val="18"/>
                <w:szCs w:val="18"/>
              </w:rPr>
              <w:t>先修课程：《物流管理》、《运输管理》、《仓储管理》等。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rPr>
                <w:rFonts w:hint="eastAsia" w:eastAsia="仿宋_GB2312"/>
                <w:color w:val="auto"/>
                <w:sz w:val="18"/>
                <w:szCs w:val="18"/>
                <w:lang w:eastAsia="zh-CN"/>
              </w:rPr>
            </w:pPr>
            <w:r>
              <w:rPr>
                <w:rFonts w:hint="eastAsia" w:eastAsia="仿宋_GB2312"/>
                <w:color w:val="auto"/>
                <w:sz w:val="18"/>
                <w:szCs w:val="18"/>
              </w:rPr>
              <w:t>6.</w:t>
            </w:r>
            <w:r>
              <w:rPr>
                <w:rFonts w:hint="eastAsia" w:eastAsia="仿宋_GB2312"/>
                <w:color w:val="auto"/>
                <w:sz w:val="18"/>
                <w:szCs w:val="18"/>
                <w:lang w:eastAsia="zh-CN"/>
              </w:rPr>
              <w:t>国际物流实务A</w:t>
            </w:r>
          </w:p>
        </w:tc>
        <w:tc>
          <w:tcPr>
            <w:tcW w:w="7936" w:type="dxa"/>
          </w:tcPr>
          <w:p>
            <w:pPr>
              <w:adjustRightInd w:val="0"/>
              <w:snapToGrid w:val="0"/>
              <w:spacing w:line="240" w:lineRule="exact"/>
              <w:jc w:val="left"/>
              <w:rPr>
                <w:rFonts w:eastAsia="仿宋_GB2312"/>
                <w:color w:val="auto"/>
                <w:sz w:val="18"/>
                <w:szCs w:val="18"/>
              </w:rPr>
            </w:pPr>
            <w:r>
              <w:rPr>
                <w:rFonts w:eastAsia="仿宋_GB2312"/>
                <w:color w:val="auto"/>
                <w:sz w:val="18"/>
                <w:szCs w:val="18"/>
              </w:rPr>
              <w:t>课程培养学生掌握国际物流的基本理论和方法，海陆空物流的基本操作技能，</w:t>
            </w:r>
            <w:r>
              <w:rPr>
                <w:rFonts w:hint="eastAsia" w:eastAsia="仿宋_GB2312"/>
                <w:color w:val="auto"/>
                <w:sz w:val="18"/>
                <w:szCs w:val="18"/>
              </w:rPr>
              <w:t>国际多式联运及其操作技能，</w:t>
            </w:r>
            <w:r>
              <w:rPr>
                <w:rFonts w:eastAsia="仿宋_GB2312"/>
                <w:color w:val="auto"/>
                <w:sz w:val="18"/>
                <w:szCs w:val="18"/>
              </w:rPr>
              <w:t>为学生适应工作岗位奠定基础。</w:t>
            </w:r>
          </w:p>
        </w:tc>
        <w:tc>
          <w:tcPr>
            <w:tcW w:w="2585" w:type="dxa"/>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先修课程《物流管理》、《国际贸易》。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专业拓展课程</w:t>
            </w:r>
          </w:p>
        </w:tc>
        <w:tc>
          <w:tcPr>
            <w:tcW w:w="806"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合作经济学概论</w:t>
            </w:r>
          </w:p>
        </w:tc>
        <w:tc>
          <w:tcPr>
            <w:tcW w:w="7936"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合作经济学的基本理论、基本知识、基本政策以及国际合作社发展的基本情况，合作社的基本原则和价值，以及外国合作社发展的经验。培养学生对合作经济学的学习兴趣，具备进一步专业课程学习的基础理论能力。</w:t>
            </w:r>
          </w:p>
        </w:tc>
        <w:tc>
          <w:tcPr>
            <w:tcW w:w="258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经济学原理E</w:t>
            </w:r>
            <w:r>
              <w:rPr>
                <w:rFonts w:eastAsia="仿宋_GB2312"/>
                <w:color w:val="auto"/>
                <w:sz w:val="18"/>
                <w:szCs w:val="18"/>
              </w:rPr>
              <w:t>》</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2.</w:t>
            </w:r>
            <w:r>
              <w:rPr>
                <w:rFonts w:hint="eastAsia" w:eastAsia="仿宋_GB2312"/>
                <w:color w:val="auto"/>
                <w:sz w:val="18"/>
                <w:szCs w:val="18"/>
                <w:lang w:eastAsia="zh-CN"/>
              </w:rPr>
              <w:t>农产品营销学B</w:t>
            </w:r>
          </w:p>
        </w:tc>
        <w:tc>
          <w:tcPr>
            <w:tcW w:w="7936"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该课程主要讲述农产品采购、农产品流通、农产品销售等方面内容。培养学生独立从事开拓农产品市场和组织农产品市场经营活动的实施、应变、协调能力；农产品经营管理能力和外贸业务能力。</w:t>
            </w:r>
          </w:p>
        </w:tc>
        <w:tc>
          <w:tcPr>
            <w:tcW w:w="2585"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先修课程《市场营销》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3.农产品贮藏加工学</w:t>
            </w:r>
          </w:p>
        </w:tc>
        <w:tc>
          <w:tcPr>
            <w:tcW w:w="7936"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本课程主要讲述农产品品质的基础知识、贮藏原理与技术，加工原理及单元操作，粮食、油脂及其制品以及果蔬加工原理及产品开发等知识。</w:t>
            </w:r>
          </w:p>
        </w:tc>
        <w:tc>
          <w:tcPr>
            <w:tcW w:w="2585" w:type="dxa"/>
            <w:vAlign w:val="center"/>
          </w:tcPr>
          <w:p>
            <w:pPr>
              <w:adjustRightInd w:val="0"/>
              <w:snapToGrid w:val="0"/>
              <w:spacing w:line="24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4.</w:t>
            </w:r>
            <w:r>
              <w:rPr>
                <w:rFonts w:hint="eastAsia" w:eastAsia="仿宋_GB2312"/>
                <w:color w:val="auto"/>
                <w:sz w:val="18"/>
                <w:szCs w:val="18"/>
                <w:lang w:eastAsia="zh-CN"/>
              </w:rPr>
              <w:t>农产品国际贸易B</w:t>
            </w:r>
          </w:p>
        </w:tc>
        <w:tc>
          <w:tcPr>
            <w:tcW w:w="7936"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本课程在系统地阐明学习和研究</w:t>
            </w:r>
            <w:r>
              <w:rPr>
                <w:rFonts w:hint="eastAsia" w:eastAsia="仿宋_GB2312"/>
                <w:color w:val="auto"/>
                <w:sz w:val="18"/>
                <w:szCs w:val="18"/>
                <w:lang w:eastAsia="zh-CN"/>
              </w:rPr>
              <w:t>农产品国际贸易</w:t>
            </w:r>
            <w:r>
              <w:rPr>
                <w:rFonts w:eastAsia="仿宋_GB2312"/>
                <w:color w:val="auto"/>
                <w:sz w:val="18"/>
                <w:szCs w:val="18"/>
              </w:rPr>
              <w:t>所必需的基本理论知识的同时，将世界农产品贸易的发展态势和主要国家（地区）的农产品贸易格局、</w:t>
            </w:r>
            <w:r>
              <w:rPr>
                <w:rFonts w:hint="eastAsia" w:eastAsia="仿宋_GB2312"/>
                <w:color w:val="auto"/>
                <w:sz w:val="18"/>
                <w:szCs w:val="18"/>
                <w:lang w:eastAsia="zh-CN"/>
              </w:rPr>
              <w:t>农产品国际贸易</w:t>
            </w:r>
            <w:r>
              <w:rPr>
                <w:rFonts w:eastAsia="仿宋_GB2312"/>
                <w:color w:val="auto"/>
                <w:sz w:val="18"/>
                <w:szCs w:val="18"/>
              </w:rPr>
              <w:t>争端、农产品贸易促进等内容作为重点展开分析。</w:t>
            </w:r>
          </w:p>
        </w:tc>
        <w:tc>
          <w:tcPr>
            <w:tcW w:w="258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先修课程《国际贸易》</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5.</w:t>
            </w:r>
            <w:r>
              <w:rPr>
                <w:rFonts w:eastAsia="仿宋_GB2312"/>
                <w:color w:val="auto"/>
                <w:sz w:val="18"/>
                <w:szCs w:val="18"/>
              </w:rPr>
              <w:t>国际航运管理</w:t>
            </w:r>
          </w:p>
        </w:tc>
        <w:tc>
          <w:tcPr>
            <w:tcW w:w="7936"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是管理类专业学生的拓展课程，是一门系统讲授国际航运管理专业知识的课程，其内容包括航运经营管理、船舶运输生产管理、航运物流企业组织管理、船舶管理、集装箱管理、航运安全管理、货运质量管理等。通过本课程的学习培养学生深刻的了解国际物流的管理运作模式，具备国际航运管理的能力。</w:t>
            </w:r>
          </w:p>
        </w:tc>
        <w:tc>
          <w:tcPr>
            <w:tcW w:w="258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先修课程《物流管理》</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6.</w:t>
            </w:r>
            <w:r>
              <w:rPr>
                <w:rFonts w:eastAsia="仿宋_GB2312"/>
                <w:color w:val="auto"/>
                <w:sz w:val="18"/>
                <w:szCs w:val="18"/>
              </w:rPr>
              <w:t>现代港口物流管理</w:t>
            </w:r>
          </w:p>
        </w:tc>
        <w:tc>
          <w:tcPr>
            <w:tcW w:w="7936"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港口物流发展与区域经济互相促进的关系，港口物流管理实务的基本技能，码头进出口业务流程、外轮理货业务、货运监管制度和口岸通关流程。培养学生根据统计指标分析港口物流运营状况的能力，为将来从事相关的工作奠定基础。</w:t>
            </w:r>
          </w:p>
        </w:tc>
        <w:tc>
          <w:tcPr>
            <w:tcW w:w="258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先修课程《物流管理》</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7.</w:t>
            </w:r>
            <w:r>
              <w:rPr>
                <w:rFonts w:eastAsia="仿宋_GB2312"/>
                <w:color w:val="auto"/>
                <w:sz w:val="18"/>
                <w:szCs w:val="18"/>
              </w:rPr>
              <w:t>物流客户服务</w:t>
            </w:r>
          </w:p>
        </w:tc>
        <w:tc>
          <w:tcPr>
            <w:tcW w:w="7936"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是客户服务理论在物流企业的运用。通过课程的学习，使学生树立“以客户为中心”的服务理念，能设计物流客户服务系统，掌握客户关系管理、客户服务质量管理、客户投诉管理、客户沟通的相关技能，培养学生职业能力。</w:t>
            </w:r>
          </w:p>
        </w:tc>
        <w:tc>
          <w:tcPr>
            <w:tcW w:w="258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先修课程《物流管理》</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8.</w:t>
            </w:r>
            <w:r>
              <w:rPr>
                <w:rFonts w:eastAsia="仿宋_GB2312"/>
                <w:color w:val="auto"/>
                <w:sz w:val="18"/>
                <w:szCs w:val="18"/>
              </w:rPr>
              <w:t>国际金融</w:t>
            </w:r>
          </w:p>
        </w:tc>
        <w:tc>
          <w:tcPr>
            <w:tcW w:w="7936"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该课程主要讲述国际金融学的原理和方法。培养学生能够掌握并运用所学理论知识提高分析现实国际金融问题和具体案例的能力。</w:t>
            </w:r>
          </w:p>
        </w:tc>
        <w:tc>
          <w:tcPr>
            <w:tcW w:w="2585"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经济学原理E</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9.</w:t>
            </w:r>
            <w:r>
              <w:rPr>
                <w:rFonts w:hint="eastAsia" w:eastAsia="仿宋_GB2312"/>
                <w:color w:val="auto"/>
                <w:sz w:val="18"/>
                <w:szCs w:val="18"/>
                <w:lang w:eastAsia="zh-CN"/>
              </w:rPr>
              <w:t>战略管理B</w:t>
            </w:r>
          </w:p>
        </w:tc>
        <w:tc>
          <w:tcPr>
            <w:tcW w:w="7936"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本课程内容包括公司</w:t>
            </w:r>
            <w:r>
              <w:rPr>
                <w:rFonts w:hint="eastAsia" w:eastAsia="仿宋_GB2312"/>
                <w:color w:val="auto"/>
                <w:sz w:val="18"/>
                <w:szCs w:val="18"/>
                <w:lang w:eastAsia="zh-CN"/>
              </w:rPr>
              <w:t>战略管理</w:t>
            </w:r>
            <w:r>
              <w:rPr>
                <w:rFonts w:eastAsia="仿宋_GB2312"/>
                <w:color w:val="auto"/>
                <w:sz w:val="18"/>
                <w:szCs w:val="18"/>
              </w:rPr>
              <w:t>的基本概念；评估影响公司表现的外部因素和内部因素的能力；各种</w:t>
            </w:r>
            <w:r>
              <w:rPr>
                <w:rFonts w:hint="eastAsia" w:eastAsia="仿宋_GB2312"/>
                <w:color w:val="auto"/>
                <w:sz w:val="18"/>
                <w:szCs w:val="18"/>
                <w:lang w:eastAsia="zh-CN"/>
              </w:rPr>
              <w:t>战略管理</w:t>
            </w:r>
            <w:r>
              <w:rPr>
                <w:rFonts w:eastAsia="仿宋_GB2312"/>
                <w:color w:val="auto"/>
                <w:sz w:val="18"/>
                <w:szCs w:val="18"/>
              </w:rPr>
              <w:t>工具的运用；在战略分析的基础上，为企业制定发展战略，这是</w:t>
            </w:r>
            <w:r>
              <w:rPr>
                <w:rFonts w:hint="eastAsia" w:eastAsia="仿宋_GB2312"/>
                <w:color w:val="auto"/>
                <w:sz w:val="18"/>
                <w:szCs w:val="18"/>
                <w:lang w:eastAsia="zh-CN"/>
              </w:rPr>
              <w:t>战略管理</w:t>
            </w:r>
            <w:r>
              <w:rPr>
                <w:rFonts w:eastAsia="仿宋_GB2312"/>
                <w:color w:val="auto"/>
                <w:sz w:val="18"/>
                <w:szCs w:val="18"/>
              </w:rPr>
              <w:t>的核心部分理解。培养学生通过本课程的学习，了解公司</w:t>
            </w:r>
            <w:r>
              <w:rPr>
                <w:rFonts w:hint="eastAsia" w:eastAsia="仿宋_GB2312"/>
                <w:color w:val="auto"/>
                <w:sz w:val="18"/>
                <w:szCs w:val="18"/>
                <w:lang w:eastAsia="zh-CN"/>
              </w:rPr>
              <w:t>战略管理</w:t>
            </w:r>
            <w:r>
              <w:rPr>
                <w:rFonts w:eastAsia="仿宋_GB2312"/>
                <w:color w:val="auto"/>
                <w:sz w:val="18"/>
                <w:szCs w:val="18"/>
              </w:rPr>
              <w:t>的相关概念、主要内容，掌握制定公司战略与处理风险实务的基本方法。</w:t>
            </w:r>
          </w:p>
        </w:tc>
        <w:tc>
          <w:tcPr>
            <w:tcW w:w="2585" w:type="dxa"/>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10.物流经济学</w:t>
            </w:r>
          </w:p>
        </w:tc>
        <w:tc>
          <w:tcPr>
            <w:tcW w:w="7936"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该课程要求学生能够利用物流经济学的理论、原理、方法及相关工具，分析物流市场的需求与供给、物流效率、物流绩效等，培养学生理论联系实际及解决问题的能力。</w:t>
            </w:r>
          </w:p>
        </w:tc>
        <w:tc>
          <w:tcPr>
            <w:tcW w:w="2585"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先修课程《管理学I》、《</w:t>
            </w:r>
            <w:r>
              <w:rPr>
                <w:rFonts w:hint="eastAsia" w:eastAsia="仿宋_GB2312"/>
                <w:color w:val="auto"/>
                <w:sz w:val="18"/>
                <w:szCs w:val="18"/>
                <w:lang w:eastAsia="zh-CN"/>
              </w:rPr>
              <w:t>经济学原理E</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11.</w:t>
            </w:r>
            <w:r>
              <w:rPr>
                <w:rFonts w:eastAsia="仿宋_GB2312"/>
                <w:color w:val="auto"/>
                <w:sz w:val="18"/>
                <w:szCs w:val="18"/>
              </w:rPr>
              <w:t>物流成本管理与控制</w:t>
            </w:r>
          </w:p>
        </w:tc>
        <w:tc>
          <w:tcPr>
            <w:tcW w:w="7936"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介绍物流成本管理的基本概念、基本理论，使学生掌握物流成本的构成和计算方法，会运用所学到的基本概念和理论知识，对现代物流企业或企业物流成本构成、成本计算、成本控制等问题进行全面的学习和掌握，逐渐形成观察、思考和解决有关理论和实践问题的能力。</w:t>
            </w:r>
          </w:p>
        </w:tc>
        <w:tc>
          <w:tcPr>
            <w:tcW w:w="258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先修课程《物流管理》</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12.</w:t>
            </w:r>
            <w:r>
              <w:rPr>
                <w:rFonts w:hint="eastAsia" w:eastAsia="仿宋_GB2312"/>
                <w:color w:val="auto"/>
                <w:sz w:val="18"/>
                <w:szCs w:val="18"/>
                <w:lang w:eastAsia="zh-CN"/>
              </w:rPr>
              <w:t>市场调查与预测B</w:t>
            </w:r>
          </w:p>
        </w:tc>
        <w:tc>
          <w:tcPr>
            <w:tcW w:w="7936"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该课程主要讲述市场调查的原理、市场调查的技术方法、市场预测的原理、原则、步骤、结果评价和撰写报告。培养学生掌握</w:t>
            </w:r>
            <w:r>
              <w:rPr>
                <w:rFonts w:hint="eastAsia" w:eastAsia="仿宋_GB2312"/>
                <w:color w:val="auto"/>
                <w:sz w:val="18"/>
                <w:szCs w:val="18"/>
                <w:lang w:eastAsia="zh-CN"/>
              </w:rPr>
              <w:t>市场调查与预测</w:t>
            </w:r>
            <w:r>
              <w:rPr>
                <w:rFonts w:eastAsia="仿宋_GB2312"/>
                <w:color w:val="auto"/>
                <w:sz w:val="18"/>
                <w:szCs w:val="18"/>
              </w:rPr>
              <w:t>的方法，提高学生分析问题、研究问题、解决问题的实际工作能力。</w:t>
            </w:r>
          </w:p>
        </w:tc>
        <w:tc>
          <w:tcPr>
            <w:tcW w:w="2585"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先修课程为《市场营销》</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13.</w:t>
            </w:r>
            <w:r>
              <w:rPr>
                <w:rFonts w:eastAsia="仿宋_GB2312"/>
                <w:color w:val="auto"/>
                <w:sz w:val="18"/>
                <w:szCs w:val="18"/>
              </w:rPr>
              <w:t>应急物流管理</w:t>
            </w:r>
          </w:p>
        </w:tc>
        <w:tc>
          <w:tcPr>
            <w:tcW w:w="7936"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本课程的学习使学生了解应急物流产生的背景以及发展状况，了解我国应急物流管理存在的主要问题，了解应急物流管理组织，了解应急物流管理组织的构建和运作，了解应急物流供应链的结构设计和应急供应链的快速响应机制，培养学生增加应对突发事件的应急物流管理能力。</w:t>
            </w:r>
          </w:p>
        </w:tc>
        <w:tc>
          <w:tcPr>
            <w:tcW w:w="2585"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先修课程《物流管理》</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实践环节</w:t>
            </w:r>
          </w:p>
        </w:tc>
        <w:tc>
          <w:tcPr>
            <w:tcW w:w="806"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w:t>
            </w: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入学教育、军训（含军事理论教育实践）</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本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2585" w:type="dxa"/>
          </w:tcPr>
          <w:p>
            <w:pPr>
              <w:adjustRightInd w:val="0"/>
              <w:snapToGrid w:val="0"/>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tcPr>
          <w:p>
            <w:pPr>
              <w:adjustRightInd w:val="0"/>
              <w:snapToGrid w:val="0"/>
              <w:spacing w:line="240" w:lineRule="exact"/>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第二课堂实践</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培养专业社会实践能力和团队协作能力和责任心</w:t>
            </w:r>
          </w:p>
        </w:tc>
        <w:tc>
          <w:tcPr>
            <w:tcW w:w="2585" w:type="dxa"/>
          </w:tcPr>
          <w:p>
            <w:pPr>
              <w:adjustRightInd w:val="0"/>
              <w:snapToGrid w:val="0"/>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tcPr>
          <w:p>
            <w:pPr>
              <w:adjustRightInd w:val="0"/>
              <w:snapToGrid w:val="0"/>
              <w:spacing w:line="240" w:lineRule="exact"/>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毕业教育</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培养社会适应能力和应变能力</w:t>
            </w:r>
          </w:p>
        </w:tc>
        <w:tc>
          <w:tcPr>
            <w:tcW w:w="2585" w:type="dxa"/>
          </w:tcPr>
          <w:p>
            <w:pPr>
              <w:adjustRightInd w:val="0"/>
              <w:snapToGrid w:val="0"/>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tcPr>
          <w:p>
            <w:pPr>
              <w:adjustRightInd w:val="0"/>
              <w:snapToGrid w:val="0"/>
              <w:spacing w:line="240" w:lineRule="exact"/>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4.</w:t>
            </w:r>
            <w:r>
              <w:rPr>
                <w:rFonts w:eastAsia="仿宋_GB2312"/>
                <w:color w:val="auto"/>
                <w:sz w:val="18"/>
                <w:szCs w:val="18"/>
              </w:rPr>
              <w:t>物流管理专业</w:t>
            </w:r>
            <w:r>
              <w:rPr>
                <w:rFonts w:hint="eastAsia" w:eastAsia="仿宋_GB2312"/>
                <w:color w:val="auto"/>
                <w:sz w:val="18"/>
                <w:szCs w:val="18"/>
              </w:rPr>
              <w:t>（3+2）</w:t>
            </w:r>
            <w:r>
              <w:rPr>
                <w:rFonts w:eastAsia="仿宋_GB2312"/>
                <w:color w:val="auto"/>
                <w:sz w:val="18"/>
                <w:szCs w:val="18"/>
              </w:rPr>
              <w:t>科研训练与课程论文（设计）</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使学生了解科研论文写作步骤和方法，培养基本的科研能力。</w:t>
            </w:r>
          </w:p>
        </w:tc>
        <w:tc>
          <w:tcPr>
            <w:tcW w:w="2585" w:type="dxa"/>
          </w:tcPr>
          <w:p>
            <w:pPr>
              <w:adjustRightInd w:val="0"/>
              <w:snapToGrid w:val="0"/>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tcPr>
          <w:p>
            <w:pPr>
              <w:adjustRightInd w:val="0"/>
              <w:snapToGrid w:val="0"/>
              <w:spacing w:line="240" w:lineRule="exact"/>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5.《</w:t>
            </w:r>
            <w:r>
              <w:rPr>
                <w:rFonts w:eastAsia="仿宋_GB2312"/>
                <w:color w:val="auto"/>
                <w:sz w:val="18"/>
                <w:szCs w:val="18"/>
              </w:rPr>
              <w:t>物流系统</w:t>
            </w:r>
            <w:r>
              <w:rPr>
                <w:rFonts w:hint="eastAsia" w:eastAsia="仿宋_GB2312"/>
                <w:color w:val="auto"/>
                <w:sz w:val="18"/>
                <w:szCs w:val="18"/>
              </w:rPr>
              <w:t>仿真》课程设计</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培养学生对于物流及供应链系统进行综合规划与设计能力，提高学生专业素养和综合素质。</w:t>
            </w:r>
          </w:p>
        </w:tc>
        <w:tc>
          <w:tcPr>
            <w:tcW w:w="2585" w:type="dxa"/>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先修课程《管理运筹学》、《物流系统仿真》、《物流系统仿实验》。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tcPr>
          <w:p>
            <w:pPr>
              <w:adjustRightInd w:val="0"/>
              <w:snapToGrid w:val="0"/>
              <w:spacing w:line="240" w:lineRule="exact"/>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hint="eastAsia" w:eastAsia="仿宋_GB2312"/>
                <w:color w:val="auto"/>
                <w:sz w:val="18"/>
                <w:szCs w:val="18"/>
              </w:rPr>
              <w:t>6.</w:t>
            </w:r>
            <w:r>
              <w:rPr>
                <w:rFonts w:eastAsia="仿宋_GB2312"/>
                <w:color w:val="auto"/>
                <w:sz w:val="18"/>
                <w:szCs w:val="18"/>
              </w:rPr>
              <w:t>物流行业社会调查</w:t>
            </w:r>
          </w:p>
        </w:tc>
        <w:tc>
          <w:tcPr>
            <w:tcW w:w="7936" w:type="dxa"/>
            <w:vAlign w:val="center"/>
          </w:tcPr>
          <w:p>
            <w:pPr>
              <w:spacing w:line="240" w:lineRule="exact"/>
              <w:rPr>
                <w:rFonts w:eastAsia="仿宋_GB2312"/>
                <w:color w:val="auto"/>
                <w:sz w:val="18"/>
                <w:szCs w:val="18"/>
              </w:rPr>
            </w:pPr>
            <w:r>
              <w:rPr>
                <w:rFonts w:eastAsia="仿宋_GB2312"/>
                <w:color w:val="auto"/>
                <w:sz w:val="18"/>
                <w:szCs w:val="18"/>
              </w:rPr>
              <w:t>通过组织学生对社会物流进行调查，培养学生进行调查问卷设计、收集、整理，以及运用经济分析方法进行数据分析的能力，通过接触调查充分了解社会物流的基本存在形态及行业发展状况。</w:t>
            </w:r>
          </w:p>
        </w:tc>
        <w:tc>
          <w:tcPr>
            <w:tcW w:w="2585" w:type="dxa"/>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先修课程：《管理学I》、《物流管理》、《供应链管理》。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tcPr>
          <w:p>
            <w:pPr>
              <w:adjustRightInd w:val="0"/>
              <w:snapToGrid w:val="0"/>
              <w:spacing w:line="240" w:lineRule="exact"/>
              <w:rPr>
                <w:rFonts w:eastAsia="仿宋_GB2312"/>
                <w:color w:val="auto"/>
                <w:sz w:val="18"/>
                <w:szCs w:val="18"/>
              </w:rPr>
            </w:pPr>
          </w:p>
        </w:tc>
        <w:tc>
          <w:tcPr>
            <w:tcW w:w="220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7.</w:t>
            </w:r>
            <w:r>
              <w:rPr>
                <w:rFonts w:eastAsia="仿宋_GB2312"/>
                <w:color w:val="auto"/>
                <w:sz w:val="18"/>
                <w:szCs w:val="18"/>
              </w:rPr>
              <w:t>电商物流综合仿真</w:t>
            </w:r>
            <w:r>
              <w:rPr>
                <w:rFonts w:hint="eastAsia" w:eastAsia="仿宋_GB2312"/>
                <w:color w:val="auto"/>
                <w:sz w:val="18"/>
                <w:szCs w:val="18"/>
              </w:rPr>
              <w:t>实训</w:t>
            </w:r>
          </w:p>
        </w:tc>
        <w:tc>
          <w:tcPr>
            <w:tcW w:w="7936"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借助ITP教学平台，通过电商物流虚拟仿真软件，对电商物流的核心环节——电商物流中心的参观、入库、补货、盘点、出库以及综合作业进行演练，并在此基础上完成电商物流中心的运营实践与优化，实现学生能力与企业需求无缝对接，提高学生知识综合运用能力和社会岗位适应能力。</w:t>
            </w:r>
          </w:p>
        </w:tc>
        <w:tc>
          <w:tcPr>
            <w:tcW w:w="2585" w:type="dxa"/>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先修课程：《管理学I》、《物流管理》、《供应链管理》《电子商务概论》、《</w:t>
            </w:r>
            <w:r>
              <w:rPr>
                <w:rFonts w:eastAsia="仿宋_GB2312"/>
                <w:color w:val="auto"/>
                <w:sz w:val="18"/>
                <w:szCs w:val="18"/>
              </w:rPr>
              <w:t>物流仓储与配送管理</w:t>
            </w:r>
            <w:r>
              <w:rPr>
                <w:rFonts w:hint="eastAsia" w:eastAsia="仿宋_GB2312"/>
                <w:color w:val="auto"/>
                <w:sz w:val="18"/>
                <w:szCs w:val="18"/>
              </w:rPr>
              <w:t>》、《运输管理》等。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tcPr>
          <w:p>
            <w:pPr>
              <w:adjustRightInd w:val="0"/>
              <w:snapToGrid w:val="0"/>
              <w:spacing w:line="240" w:lineRule="exact"/>
              <w:rPr>
                <w:rFonts w:eastAsia="仿宋_GB2312"/>
                <w:color w:val="auto"/>
                <w:sz w:val="18"/>
                <w:szCs w:val="18"/>
              </w:rPr>
            </w:pPr>
          </w:p>
        </w:tc>
        <w:tc>
          <w:tcPr>
            <w:tcW w:w="2200" w:type="dxa"/>
            <w:vAlign w:val="center"/>
          </w:tcPr>
          <w:p>
            <w:pPr>
              <w:spacing w:line="240" w:lineRule="exact"/>
              <w:rPr>
                <w:rFonts w:eastAsia="仿宋_GB2312"/>
                <w:color w:val="auto"/>
                <w:sz w:val="18"/>
                <w:szCs w:val="18"/>
              </w:rPr>
            </w:pPr>
            <w:r>
              <w:rPr>
                <w:rFonts w:eastAsia="仿宋_GB2312"/>
                <w:color w:val="auto"/>
                <w:sz w:val="18"/>
                <w:szCs w:val="18"/>
              </w:rPr>
              <w:t>物流管理专业</w:t>
            </w:r>
            <w:r>
              <w:rPr>
                <w:rFonts w:hint="eastAsia" w:eastAsia="仿宋_GB2312"/>
                <w:color w:val="auto"/>
                <w:sz w:val="18"/>
                <w:szCs w:val="18"/>
              </w:rPr>
              <w:t>（3+2）</w:t>
            </w:r>
            <w:r>
              <w:rPr>
                <w:rFonts w:eastAsia="仿宋_GB2312"/>
                <w:color w:val="auto"/>
                <w:sz w:val="18"/>
                <w:szCs w:val="18"/>
              </w:rPr>
              <w:t>毕业实习</w:t>
            </w:r>
            <w:r>
              <w:rPr>
                <w:rFonts w:hint="eastAsia" w:eastAsia="仿宋_GB2312"/>
                <w:color w:val="auto"/>
                <w:sz w:val="18"/>
                <w:szCs w:val="18"/>
              </w:rPr>
              <w:t>（含劳动实践）</w:t>
            </w:r>
            <w:r>
              <w:rPr>
                <w:rFonts w:eastAsia="仿宋_GB2312"/>
                <w:color w:val="auto"/>
                <w:sz w:val="18"/>
                <w:szCs w:val="18"/>
              </w:rPr>
              <w:t>、毕业论文（设计）</w:t>
            </w:r>
          </w:p>
        </w:tc>
        <w:tc>
          <w:tcPr>
            <w:tcW w:w="7936" w:type="dxa"/>
            <w:vAlign w:val="center"/>
          </w:tcPr>
          <w:p>
            <w:pPr>
              <w:pStyle w:val="8"/>
              <w:tabs>
                <w:tab w:val="left" w:pos="540"/>
              </w:tabs>
              <w:spacing w:line="240" w:lineRule="exact"/>
              <w:ind w:left="0" w:leftChars="0"/>
              <w:rPr>
                <w:rFonts w:eastAsia="仿宋_GB2312"/>
                <w:color w:val="auto"/>
                <w:sz w:val="18"/>
                <w:szCs w:val="18"/>
              </w:rPr>
            </w:pPr>
            <w:r>
              <w:rPr>
                <w:rFonts w:eastAsia="仿宋_GB2312"/>
                <w:color w:val="auto"/>
                <w:sz w:val="18"/>
                <w:szCs w:val="18"/>
              </w:rPr>
              <w:t>毕业设计、毕业论文（设计）是物流管理专业最重要的一个综合性实践教学环节，也是学生走向工作岗位前在校学习期间最后一次理论和实践机会。通过毕业实习和毕业论文（设计），使学生的知识综合运用能力、动手能力以及创新能力进一步增强，提升学生就业竞争力和可持续发展的潜力，培养学生实践与理论并重的正确思想方法。另外，通过毕业实习可以使学生了解社会需求和产业需求，提高学生的团队合作精神和语言表达交流能力，为学生尽快适应社会、适应工作岗位奠定良好的基础。</w:t>
            </w:r>
          </w:p>
        </w:tc>
        <w:tc>
          <w:tcPr>
            <w:tcW w:w="2585" w:type="dxa"/>
          </w:tcPr>
          <w:p>
            <w:pPr>
              <w:adjustRightInd w:val="0"/>
              <w:snapToGrid w:val="0"/>
              <w:spacing w:line="240" w:lineRule="exact"/>
              <w:jc w:val="center"/>
              <w:rPr>
                <w:rFonts w:eastAsia="仿宋_GB2312"/>
                <w:color w:val="auto"/>
                <w:sz w:val="18"/>
                <w:szCs w:val="18"/>
              </w:rPr>
            </w:pPr>
          </w:p>
        </w:tc>
      </w:tr>
    </w:tbl>
    <w:p>
      <w:pPr>
        <w:widowControl/>
        <w:spacing w:line="460" w:lineRule="exact"/>
        <w:ind w:firstLine="210" w:firstLineChars="100"/>
        <w:rPr>
          <w:rFonts w:eastAsia="仿宋_GB2312"/>
          <w:color w:val="auto"/>
          <w:kern w:val="0"/>
        </w:rPr>
        <w:sectPr>
          <w:pgSz w:w="16838" w:h="11906" w:orient="landscape"/>
          <w:pgMar w:top="1531" w:right="1361" w:bottom="1021" w:left="1588" w:header="851" w:footer="1531" w:gutter="0"/>
          <w:cols w:space="720" w:num="1"/>
          <w:docGrid w:linePitch="312" w:charSpace="117"/>
        </w:sect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color w:val="auto"/>
        </w:rPr>
      </w:pPr>
    </w:p>
    <w:p>
      <w:pPr>
        <w:spacing w:line="480" w:lineRule="exact"/>
        <w:rPr>
          <w:color w:val="auto"/>
        </w:rPr>
      </w:pPr>
    </w:p>
    <w:p>
      <w:pPr>
        <w:spacing w:line="480" w:lineRule="exact"/>
        <w:rPr>
          <w:color w:val="auto"/>
        </w:rPr>
      </w:pPr>
    </w:p>
    <w:bookmarkEnd w:id="4"/>
    <w:sectPr>
      <w:pgSz w:w="11906" w:h="16838"/>
      <w:pgMar w:top="2098" w:right="1361" w:bottom="1021" w:left="1588" w:header="851" w:footer="1531" w:gutter="0"/>
      <w:cols w:space="720" w:num="1"/>
      <w:docGrid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altName w:val="黑体"/>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方正舒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9 -</w:t>
    </w:r>
    <w:r>
      <w:rPr>
        <w:rFonts w:hint="eastAsia" w:ascii="仿宋_GB2312" w:eastAsia="仿宋_GB2312"/>
        <w:sz w:val="30"/>
        <w:szCs w:val="30"/>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8 -</w:t>
    </w:r>
    <w:r>
      <w:rPr>
        <w:rFonts w:hint="eastAsia" w:ascii="仿宋_GB2312" w:eastAsia="仿宋_GB2312"/>
        <w:sz w:val="30"/>
        <w:szCs w:val="30"/>
      </w:rP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330" w:y="86"/>
      <w:rPr>
        <w:rStyle w:val="27"/>
        <w:rFonts w:ascii="宋体" w:hAnsi="宋体"/>
        <w:sz w:val="28"/>
        <w:szCs w:val="28"/>
      </w:rPr>
    </w:pPr>
    <w:r>
      <w:rPr>
        <w:rStyle w:val="27"/>
        <w:rFonts w:hint="eastAsia" w:ascii="宋体" w:hAnsi="宋体"/>
        <w:sz w:val="28"/>
        <w:szCs w:val="28"/>
      </w:rPr>
      <w:t>—</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11</w:t>
    </w:r>
    <w:r>
      <w:rPr>
        <w:rFonts w:ascii="宋体" w:hAnsi="宋体"/>
        <w:sz w:val="28"/>
        <w:szCs w:val="28"/>
      </w:rPr>
      <w:fldChar w:fldCharType="end"/>
    </w:r>
    <w:r>
      <w:rPr>
        <w:rStyle w:val="27"/>
        <w:rFonts w:hint="eastAsia" w:ascii="宋体" w:hAnsi="宋体"/>
        <w:sz w:val="28"/>
        <w:szCs w:val="28"/>
      </w:rPr>
      <w:t>—</w:t>
    </w:r>
  </w:p>
  <w:p>
    <w:pPr>
      <w:pStyle w:val="14"/>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1770" w:y="86"/>
      <w:rPr>
        <w:rStyle w:val="27"/>
        <w:rFonts w:ascii="宋体" w:hAnsi="宋体"/>
        <w:sz w:val="28"/>
        <w:szCs w:val="28"/>
      </w:rPr>
    </w:pPr>
    <w:r>
      <w:rPr>
        <w:rStyle w:val="27"/>
        <w:rFonts w:hint="eastAsia" w:ascii="宋体" w:hAnsi="宋体"/>
        <w:sz w:val="28"/>
        <w:szCs w:val="28"/>
      </w:rPr>
      <w:t>—</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10</w:t>
    </w:r>
    <w:r>
      <w:rPr>
        <w:rFonts w:ascii="宋体" w:hAnsi="宋体"/>
        <w:sz w:val="28"/>
        <w:szCs w:val="28"/>
      </w:rPr>
      <w:fldChar w:fldCharType="end"/>
    </w:r>
    <w:r>
      <w:rPr>
        <w:rStyle w:val="27"/>
        <w:rFonts w:hint="eastAsia" w:ascii="宋体" w:hAnsi="宋体"/>
        <w:sz w:val="28"/>
        <w:szCs w:val="28"/>
      </w:rPr>
      <w:t>—</w:t>
    </w:r>
  </w:p>
  <w:p>
    <w:pPr>
      <w:pStyle w:val="14"/>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B3B"/>
    <w:rsid w:val="00002CAD"/>
    <w:rsid w:val="00004512"/>
    <w:rsid w:val="000056C8"/>
    <w:rsid w:val="00005C43"/>
    <w:rsid w:val="0000698B"/>
    <w:rsid w:val="0000761F"/>
    <w:rsid w:val="00015831"/>
    <w:rsid w:val="0001583E"/>
    <w:rsid w:val="00024FDF"/>
    <w:rsid w:val="00030B31"/>
    <w:rsid w:val="00031950"/>
    <w:rsid w:val="00031B30"/>
    <w:rsid w:val="0003219F"/>
    <w:rsid w:val="000324C3"/>
    <w:rsid w:val="00032DDB"/>
    <w:rsid w:val="000343B6"/>
    <w:rsid w:val="00040E12"/>
    <w:rsid w:val="00041169"/>
    <w:rsid w:val="000421CE"/>
    <w:rsid w:val="0004346F"/>
    <w:rsid w:val="00043D9B"/>
    <w:rsid w:val="00046E3A"/>
    <w:rsid w:val="00047B01"/>
    <w:rsid w:val="0005107C"/>
    <w:rsid w:val="00052EE6"/>
    <w:rsid w:val="00054EDC"/>
    <w:rsid w:val="00055839"/>
    <w:rsid w:val="000558C0"/>
    <w:rsid w:val="0005592E"/>
    <w:rsid w:val="0005605E"/>
    <w:rsid w:val="000611AD"/>
    <w:rsid w:val="00065098"/>
    <w:rsid w:val="00065B3A"/>
    <w:rsid w:val="00066355"/>
    <w:rsid w:val="00067054"/>
    <w:rsid w:val="00070981"/>
    <w:rsid w:val="00081A3B"/>
    <w:rsid w:val="000822DC"/>
    <w:rsid w:val="00084731"/>
    <w:rsid w:val="00085D29"/>
    <w:rsid w:val="0008707D"/>
    <w:rsid w:val="000977AE"/>
    <w:rsid w:val="000A4D5D"/>
    <w:rsid w:val="000B0EB5"/>
    <w:rsid w:val="000B17DB"/>
    <w:rsid w:val="000B21C5"/>
    <w:rsid w:val="000B3475"/>
    <w:rsid w:val="000B4F29"/>
    <w:rsid w:val="000C207F"/>
    <w:rsid w:val="000C2987"/>
    <w:rsid w:val="000C4D6B"/>
    <w:rsid w:val="000C5273"/>
    <w:rsid w:val="000C5AF9"/>
    <w:rsid w:val="000D2016"/>
    <w:rsid w:val="000D65A1"/>
    <w:rsid w:val="000D7D4B"/>
    <w:rsid w:val="000E24DD"/>
    <w:rsid w:val="000E2B54"/>
    <w:rsid w:val="000E38CA"/>
    <w:rsid w:val="000E48FE"/>
    <w:rsid w:val="000E51B3"/>
    <w:rsid w:val="000E6AC5"/>
    <w:rsid w:val="000F0BFA"/>
    <w:rsid w:val="000F3A72"/>
    <w:rsid w:val="000F3AE2"/>
    <w:rsid w:val="000F61AF"/>
    <w:rsid w:val="000F61CF"/>
    <w:rsid w:val="000F690F"/>
    <w:rsid w:val="000F77B0"/>
    <w:rsid w:val="00100774"/>
    <w:rsid w:val="00100DE1"/>
    <w:rsid w:val="00103D40"/>
    <w:rsid w:val="00111BB4"/>
    <w:rsid w:val="001122DB"/>
    <w:rsid w:val="00113D8E"/>
    <w:rsid w:val="00117C25"/>
    <w:rsid w:val="00117F94"/>
    <w:rsid w:val="001214AD"/>
    <w:rsid w:val="00121F2F"/>
    <w:rsid w:val="00123245"/>
    <w:rsid w:val="00124F20"/>
    <w:rsid w:val="00124F26"/>
    <w:rsid w:val="00126E3D"/>
    <w:rsid w:val="00132682"/>
    <w:rsid w:val="001336EB"/>
    <w:rsid w:val="00137FE9"/>
    <w:rsid w:val="001405BD"/>
    <w:rsid w:val="00141652"/>
    <w:rsid w:val="0014428F"/>
    <w:rsid w:val="001471DC"/>
    <w:rsid w:val="001534E0"/>
    <w:rsid w:val="00154349"/>
    <w:rsid w:val="0015585A"/>
    <w:rsid w:val="0016183D"/>
    <w:rsid w:val="001629F8"/>
    <w:rsid w:val="00165DA7"/>
    <w:rsid w:val="00167CB5"/>
    <w:rsid w:val="00172A27"/>
    <w:rsid w:val="00173F80"/>
    <w:rsid w:val="00177C9D"/>
    <w:rsid w:val="00180CD0"/>
    <w:rsid w:val="00183159"/>
    <w:rsid w:val="001877B5"/>
    <w:rsid w:val="001A0E18"/>
    <w:rsid w:val="001A187E"/>
    <w:rsid w:val="001A2085"/>
    <w:rsid w:val="001A5B04"/>
    <w:rsid w:val="001B1FA0"/>
    <w:rsid w:val="001B3562"/>
    <w:rsid w:val="001B42C7"/>
    <w:rsid w:val="001B57F7"/>
    <w:rsid w:val="001B6BE6"/>
    <w:rsid w:val="001C1051"/>
    <w:rsid w:val="001D0AC4"/>
    <w:rsid w:val="001D47EE"/>
    <w:rsid w:val="001D5351"/>
    <w:rsid w:val="001E2704"/>
    <w:rsid w:val="001F3FCF"/>
    <w:rsid w:val="001F764D"/>
    <w:rsid w:val="002001D4"/>
    <w:rsid w:val="00204B95"/>
    <w:rsid w:val="00205100"/>
    <w:rsid w:val="00205EE5"/>
    <w:rsid w:val="0020644E"/>
    <w:rsid w:val="00207C7F"/>
    <w:rsid w:val="0021436F"/>
    <w:rsid w:val="0021643B"/>
    <w:rsid w:val="00216890"/>
    <w:rsid w:val="00232186"/>
    <w:rsid w:val="00232269"/>
    <w:rsid w:val="0023270F"/>
    <w:rsid w:val="002338D6"/>
    <w:rsid w:val="00234153"/>
    <w:rsid w:val="0023734C"/>
    <w:rsid w:val="00240020"/>
    <w:rsid w:val="002435A8"/>
    <w:rsid w:val="00244838"/>
    <w:rsid w:val="002515AA"/>
    <w:rsid w:val="002538CA"/>
    <w:rsid w:val="00261ECD"/>
    <w:rsid w:val="002620CC"/>
    <w:rsid w:val="0026233C"/>
    <w:rsid w:val="0026435C"/>
    <w:rsid w:val="0027063F"/>
    <w:rsid w:val="00271469"/>
    <w:rsid w:val="002725F1"/>
    <w:rsid w:val="0027443C"/>
    <w:rsid w:val="00276D62"/>
    <w:rsid w:val="00277853"/>
    <w:rsid w:val="00280175"/>
    <w:rsid w:val="00282F0B"/>
    <w:rsid w:val="00284D8B"/>
    <w:rsid w:val="0029061C"/>
    <w:rsid w:val="00294E11"/>
    <w:rsid w:val="00297517"/>
    <w:rsid w:val="002A024B"/>
    <w:rsid w:val="002A5577"/>
    <w:rsid w:val="002A59C0"/>
    <w:rsid w:val="002A69A7"/>
    <w:rsid w:val="002A7CF6"/>
    <w:rsid w:val="002B04AA"/>
    <w:rsid w:val="002B117F"/>
    <w:rsid w:val="002B2C22"/>
    <w:rsid w:val="002B34E0"/>
    <w:rsid w:val="002B5B74"/>
    <w:rsid w:val="002B7C4C"/>
    <w:rsid w:val="002C25C5"/>
    <w:rsid w:val="002C3424"/>
    <w:rsid w:val="002C5183"/>
    <w:rsid w:val="002C58BE"/>
    <w:rsid w:val="002D14D6"/>
    <w:rsid w:val="002D24CE"/>
    <w:rsid w:val="002D2DF1"/>
    <w:rsid w:val="002D4B20"/>
    <w:rsid w:val="002D5BD7"/>
    <w:rsid w:val="002E336B"/>
    <w:rsid w:val="002E4B11"/>
    <w:rsid w:val="002E513E"/>
    <w:rsid w:val="002E6CAA"/>
    <w:rsid w:val="002F0DEE"/>
    <w:rsid w:val="002F5EAC"/>
    <w:rsid w:val="002F775C"/>
    <w:rsid w:val="003020C4"/>
    <w:rsid w:val="00303474"/>
    <w:rsid w:val="00303954"/>
    <w:rsid w:val="00307E30"/>
    <w:rsid w:val="0031130A"/>
    <w:rsid w:val="00313B50"/>
    <w:rsid w:val="00313D8E"/>
    <w:rsid w:val="0031708C"/>
    <w:rsid w:val="00321AB6"/>
    <w:rsid w:val="00321F3F"/>
    <w:rsid w:val="003251BC"/>
    <w:rsid w:val="00325749"/>
    <w:rsid w:val="00325F90"/>
    <w:rsid w:val="00327205"/>
    <w:rsid w:val="003279E5"/>
    <w:rsid w:val="00331EC1"/>
    <w:rsid w:val="0033269E"/>
    <w:rsid w:val="003344C8"/>
    <w:rsid w:val="00340C2A"/>
    <w:rsid w:val="003410EF"/>
    <w:rsid w:val="00345F4F"/>
    <w:rsid w:val="00353B51"/>
    <w:rsid w:val="003543F6"/>
    <w:rsid w:val="00355136"/>
    <w:rsid w:val="00355367"/>
    <w:rsid w:val="003559BB"/>
    <w:rsid w:val="0035698E"/>
    <w:rsid w:val="00362254"/>
    <w:rsid w:val="003629D2"/>
    <w:rsid w:val="00362D5F"/>
    <w:rsid w:val="00365170"/>
    <w:rsid w:val="00365DC8"/>
    <w:rsid w:val="00366229"/>
    <w:rsid w:val="00373B53"/>
    <w:rsid w:val="00374FCF"/>
    <w:rsid w:val="00376B36"/>
    <w:rsid w:val="0038034B"/>
    <w:rsid w:val="00384048"/>
    <w:rsid w:val="003853CE"/>
    <w:rsid w:val="0038560F"/>
    <w:rsid w:val="003857D0"/>
    <w:rsid w:val="0038694A"/>
    <w:rsid w:val="00386C18"/>
    <w:rsid w:val="00392A07"/>
    <w:rsid w:val="003A1268"/>
    <w:rsid w:val="003B1B0F"/>
    <w:rsid w:val="003B21D7"/>
    <w:rsid w:val="003B22DA"/>
    <w:rsid w:val="003B434D"/>
    <w:rsid w:val="003B47F6"/>
    <w:rsid w:val="003B4C4F"/>
    <w:rsid w:val="003B7930"/>
    <w:rsid w:val="003E102D"/>
    <w:rsid w:val="003F1CEE"/>
    <w:rsid w:val="003F292C"/>
    <w:rsid w:val="003F47EA"/>
    <w:rsid w:val="003F6202"/>
    <w:rsid w:val="00402A64"/>
    <w:rsid w:val="00402F50"/>
    <w:rsid w:val="00404C8A"/>
    <w:rsid w:val="0041041F"/>
    <w:rsid w:val="00410507"/>
    <w:rsid w:val="00413613"/>
    <w:rsid w:val="00416A69"/>
    <w:rsid w:val="004374F8"/>
    <w:rsid w:val="00443D42"/>
    <w:rsid w:val="00444876"/>
    <w:rsid w:val="00453091"/>
    <w:rsid w:val="004547B7"/>
    <w:rsid w:val="004549B0"/>
    <w:rsid w:val="00455C8A"/>
    <w:rsid w:val="004608AC"/>
    <w:rsid w:val="0046270C"/>
    <w:rsid w:val="00472A35"/>
    <w:rsid w:val="004739B1"/>
    <w:rsid w:val="004750B7"/>
    <w:rsid w:val="004755C1"/>
    <w:rsid w:val="00475BBA"/>
    <w:rsid w:val="00475C40"/>
    <w:rsid w:val="00480F5A"/>
    <w:rsid w:val="0048112D"/>
    <w:rsid w:val="004827D1"/>
    <w:rsid w:val="00482DB0"/>
    <w:rsid w:val="00483394"/>
    <w:rsid w:val="00484DFD"/>
    <w:rsid w:val="00487FC1"/>
    <w:rsid w:val="004901A6"/>
    <w:rsid w:val="00490E9D"/>
    <w:rsid w:val="00492DFF"/>
    <w:rsid w:val="00494337"/>
    <w:rsid w:val="004957C5"/>
    <w:rsid w:val="0049725F"/>
    <w:rsid w:val="004A147A"/>
    <w:rsid w:val="004A1E10"/>
    <w:rsid w:val="004B3A05"/>
    <w:rsid w:val="004B4464"/>
    <w:rsid w:val="004B4CC9"/>
    <w:rsid w:val="004B776D"/>
    <w:rsid w:val="004C457F"/>
    <w:rsid w:val="004C5775"/>
    <w:rsid w:val="004C7479"/>
    <w:rsid w:val="004C7598"/>
    <w:rsid w:val="004D10CE"/>
    <w:rsid w:val="004D1E2D"/>
    <w:rsid w:val="004D42E0"/>
    <w:rsid w:val="004D578E"/>
    <w:rsid w:val="004D5955"/>
    <w:rsid w:val="004E27C2"/>
    <w:rsid w:val="004E3C4C"/>
    <w:rsid w:val="004E73A8"/>
    <w:rsid w:val="004E7B91"/>
    <w:rsid w:val="004F0CF2"/>
    <w:rsid w:val="004F38CD"/>
    <w:rsid w:val="00500EE6"/>
    <w:rsid w:val="00503C9A"/>
    <w:rsid w:val="0050665B"/>
    <w:rsid w:val="00507975"/>
    <w:rsid w:val="00507DB3"/>
    <w:rsid w:val="00507F74"/>
    <w:rsid w:val="005155B2"/>
    <w:rsid w:val="005170E5"/>
    <w:rsid w:val="005173EA"/>
    <w:rsid w:val="00520A72"/>
    <w:rsid w:val="0052754E"/>
    <w:rsid w:val="005344DF"/>
    <w:rsid w:val="00534854"/>
    <w:rsid w:val="00536062"/>
    <w:rsid w:val="00536BC0"/>
    <w:rsid w:val="00540866"/>
    <w:rsid w:val="00542C1A"/>
    <w:rsid w:val="00544153"/>
    <w:rsid w:val="0054682F"/>
    <w:rsid w:val="00550621"/>
    <w:rsid w:val="0055237A"/>
    <w:rsid w:val="00552502"/>
    <w:rsid w:val="005529A8"/>
    <w:rsid w:val="0055429E"/>
    <w:rsid w:val="00555CED"/>
    <w:rsid w:val="005601C6"/>
    <w:rsid w:val="00560649"/>
    <w:rsid w:val="00560E8F"/>
    <w:rsid w:val="00561AB9"/>
    <w:rsid w:val="005623BC"/>
    <w:rsid w:val="00570FE2"/>
    <w:rsid w:val="0057397D"/>
    <w:rsid w:val="00574FD7"/>
    <w:rsid w:val="00575888"/>
    <w:rsid w:val="00575A8C"/>
    <w:rsid w:val="0057641D"/>
    <w:rsid w:val="00580682"/>
    <w:rsid w:val="00580D35"/>
    <w:rsid w:val="00581A20"/>
    <w:rsid w:val="00582300"/>
    <w:rsid w:val="00582668"/>
    <w:rsid w:val="005828E8"/>
    <w:rsid w:val="005838DD"/>
    <w:rsid w:val="005966E2"/>
    <w:rsid w:val="005A1060"/>
    <w:rsid w:val="005A2F3E"/>
    <w:rsid w:val="005A3503"/>
    <w:rsid w:val="005A53C9"/>
    <w:rsid w:val="005A7A28"/>
    <w:rsid w:val="005B2E0E"/>
    <w:rsid w:val="005B5EFC"/>
    <w:rsid w:val="005B6081"/>
    <w:rsid w:val="005C5008"/>
    <w:rsid w:val="005C5C1F"/>
    <w:rsid w:val="005C61C1"/>
    <w:rsid w:val="005C754D"/>
    <w:rsid w:val="005D076F"/>
    <w:rsid w:val="005D1290"/>
    <w:rsid w:val="005D1999"/>
    <w:rsid w:val="005D4667"/>
    <w:rsid w:val="005D4812"/>
    <w:rsid w:val="005D64E0"/>
    <w:rsid w:val="005D6D03"/>
    <w:rsid w:val="005D719B"/>
    <w:rsid w:val="005D7370"/>
    <w:rsid w:val="005E1C05"/>
    <w:rsid w:val="005E48DF"/>
    <w:rsid w:val="005E7DA3"/>
    <w:rsid w:val="005F2789"/>
    <w:rsid w:val="005F3810"/>
    <w:rsid w:val="005F414B"/>
    <w:rsid w:val="0060193E"/>
    <w:rsid w:val="00601EB9"/>
    <w:rsid w:val="00603096"/>
    <w:rsid w:val="006037C7"/>
    <w:rsid w:val="00605A97"/>
    <w:rsid w:val="00620BDE"/>
    <w:rsid w:val="00621407"/>
    <w:rsid w:val="006238BB"/>
    <w:rsid w:val="00624F90"/>
    <w:rsid w:val="006265E1"/>
    <w:rsid w:val="00631D89"/>
    <w:rsid w:val="00633C98"/>
    <w:rsid w:val="00633F94"/>
    <w:rsid w:val="0064342D"/>
    <w:rsid w:val="006454D0"/>
    <w:rsid w:val="006455D9"/>
    <w:rsid w:val="006463BD"/>
    <w:rsid w:val="00650360"/>
    <w:rsid w:val="006561B8"/>
    <w:rsid w:val="00663DD4"/>
    <w:rsid w:val="00663E2D"/>
    <w:rsid w:val="006723B8"/>
    <w:rsid w:val="00672525"/>
    <w:rsid w:val="00675442"/>
    <w:rsid w:val="00677CD4"/>
    <w:rsid w:val="00683F26"/>
    <w:rsid w:val="00684AE0"/>
    <w:rsid w:val="0068503A"/>
    <w:rsid w:val="006861D1"/>
    <w:rsid w:val="00687139"/>
    <w:rsid w:val="006872DC"/>
    <w:rsid w:val="00691DBB"/>
    <w:rsid w:val="006925CF"/>
    <w:rsid w:val="00694394"/>
    <w:rsid w:val="00694A3B"/>
    <w:rsid w:val="00694B9B"/>
    <w:rsid w:val="00696D7D"/>
    <w:rsid w:val="00697F52"/>
    <w:rsid w:val="006A0D83"/>
    <w:rsid w:val="006A3219"/>
    <w:rsid w:val="006A4384"/>
    <w:rsid w:val="006A7A17"/>
    <w:rsid w:val="006B043D"/>
    <w:rsid w:val="006B1D3C"/>
    <w:rsid w:val="006B5793"/>
    <w:rsid w:val="006B5A5D"/>
    <w:rsid w:val="006B5C24"/>
    <w:rsid w:val="006B6C52"/>
    <w:rsid w:val="006B7423"/>
    <w:rsid w:val="006C2952"/>
    <w:rsid w:val="006C2C79"/>
    <w:rsid w:val="006C7335"/>
    <w:rsid w:val="006C7781"/>
    <w:rsid w:val="006D1286"/>
    <w:rsid w:val="006D5F93"/>
    <w:rsid w:val="006E017D"/>
    <w:rsid w:val="006E01B4"/>
    <w:rsid w:val="006E1237"/>
    <w:rsid w:val="006E1E3E"/>
    <w:rsid w:val="006E58CA"/>
    <w:rsid w:val="006F01D8"/>
    <w:rsid w:val="006F0373"/>
    <w:rsid w:val="006F2793"/>
    <w:rsid w:val="006F37D9"/>
    <w:rsid w:val="006F719D"/>
    <w:rsid w:val="006F7F79"/>
    <w:rsid w:val="007001F9"/>
    <w:rsid w:val="00703C8F"/>
    <w:rsid w:val="00704821"/>
    <w:rsid w:val="00704F3E"/>
    <w:rsid w:val="007153E6"/>
    <w:rsid w:val="0072217B"/>
    <w:rsid w:val="00723B81"/>
    <w:rsid w:val="007270B5"/>
    <w:rsid w:val="00727AA1"/>
    <w:rsid w:val="00731A78"/>
    <w:rsid w:val="00733B8A"/>
    <w:rsid w:val="007363A3"/>
    <w:rsid w:val="00736435"/>
    <w:rsid w:val="007404CE"/>
    <w:rsid w:val="0074113A"/>
    <w:rsid w:val="007415C8"/>
    <w:rsid w:val="00744F3C"/>
    <w:rsid w:val="0074524F"/>
    <w:rsid w:val="00746ABE"/>
    <w:rsid w:val="007528C7"/>
    <w:rsid w:val="00753F29"/>
    <w:rsid w:val="007559B2"/>
    <w:rsid w:val="00762B52"/>
    <w:rsid w:val="00762CB3"/>
    <w:rsid w:val="00770394"/>
    <w:rsid w:val="00774398"/>
    <w:rsid w:val="00780D59"/>
    <w:rsid w:val="0078134C"/>
    <w:rsid w:val="007821FF"/>
    <w:rsid w:val="00784557"/>
    <w:rsid w:val="007866EF"/>
    <w:rsid w:val="00787563"/>
    <w:rsid w:val="00790781"/>
    <w:rsid w:val="00791752"/>
    <w:rsid w:val="007946F7"/>
    <w:rsid w:val="00795518"/>
    <w:rsid w:val="0079641B"/>
    <w:rsid w:val="007A0EEA"/>
    <w:rsid w:val="007A11A5"/>
    <w:rsid w:val="007B061B"/>
    <w:rsid w:val="007B3201"/>
    <w:rsid w:val="007B4228"/>
    <w:rsid w:val="007B57E7"/>
    <w:rsid w:val="007C0877"/>
    <w:rsid w:val="007C164C"/>
    <w:rsid w:val="007C2310"/>
    <w:rsid w:val="007C26B5"/>
    <w:rsid w:val="007C2F18"/>
    <w:rsid w:val="007C4F94"/>
    <w:rsid w:val="007D0EB0"/>
    <w:rsid w:val="007E0FF9"/>
    <w:rsid w:val="007E298D"/>
    <w:rsid w:val="007E3D04"/>
    <w:rsid w:val="007E4A95"/>
    <w:rsid w:val="007F07B1"/>
    <w:rsid w:val="007F5211"/>
    <w:rsid w:val="007F56EE"/>
    <w:rsid w:val="007F57B3"/>
    <w:rsid w:val="007F72CB"/>
    <w:rsid w:val="007F7ECC"/>
    <w:rsid w:val="00806A97"/>
    <w:rsid w:val="00811D15"/>
    <w:rsid w:val="00814A8A"/>
    <w:rsid w:val="008178BE"/>
    <w:rsid w:val="00821BCB"/>
    <w:rsid w:val="00822A78"/>
    <w:rsid w:val="008406FF"/>
    <w:rsid w:val="00841342"/>
    <w:rsid w:val="0084377E"/>
    <w:rsid w:val="00845719"/>
    <w:rsid w:val="008502C0"/>
    <w:rsid w:val="00850933"/>
    <w:rsid w:val="00853F62"/>
    <w:rsid w:val="008663BC"/>
    <w:rsid w:val="00866A09"/>
    <w:rsid w:val="00867B83"/>
    <w:rsid w:val="00871605"/>
    <w:rsid w:val="0087348F"/>
    <w:rsid w:val="00875356"/>
    <w:rsid w:val="00877663"/>
    <w:rsid w:val="00881B5A"/>
    <w:rsid w:val="00881BBA"/>
    <w:rsid w:val="008826B3"/>
    <w:rsid w:val="008837A2"/>
    <w:rsid w:val="00885F38"/>
    <w:rsid w:val="0089358F"/>
    <w:rsid w:val="00895271"/>
    <w:rsid w:val="008A01B8"/>
    <w:rsid w:val="008A0A4B"/>
    <w:rsid w:val="008A409F"/>
    <w:rsid w:val="008B1BF1"/>
    <w:rsid w:val="008B622C"/>
    <w:rsid w:val="008B7806"/>
    <w:rsid w:val="008C02EC"/>
    <w:rsid w:val="008C1E5E"/>
    <w:rsid w:val="008C34E0"/>
    <w:rsid w:val="008C720D"/>
    <w:rsid w:val="008C75F5"/>
    <w:rsid w:val="008D0695"/>
    <w:rsid w:val="008D2917"/>
    <w:rsid w:val="008D2C2C"/>
    <w:rsid w:val="008E5CE6"/>
    <w:rsid w:val="008E6625"/>
    <w:rsid w:val="008E6824"/>
    <w:rsid w:val="008E7ECA"/>
    <w:rsid w:val="008F1C91"/>
    <w:rsid w:val="008F2D74"/>
    <w:rsid w:val="008F467D"/>
    <w:rsid w:val="008F667C"/>
    <w:rsid w:val="008F7D1B"/>
    <w:rsid w:val="00902FD3"/>
    <w:rsid w:val="009049A8"/>
    <w:rsid w:val="00905417"/>
    <w:rsid w:val="00906F21"/>
    <w:rsid w:val="009151B5"/>
    <w:rsid w:val="00921651"/>
    <w:rsid w:val="0092177C"/>
    <w:rsid w:val="00923E46"/>
    <w:rsid w:val="00940292"/>
    <w:rsid w:val="00940956"/>
    <w:rsid w:val="00947A00"/>
    <w:rsid w:val="00952512"/>
    <w:rsid w:val="00955B46"/>
    <w:rsid w:val="00956527"/>
    <w:rsid w:val="009647AD"/>
    <w:rsid w:val="0096553C"/>
    <w:rsid w:val="00967912"/>
    <w:rsid w:val="0097072B"/>
    <w:rsid w:val="00971B8A"/>
    <w:rsid w:val="00973AD5"/>
    <w:rsid w:val="00974F1A"/>
    <w:rsid w:val="00975C59"/>
    <w:rsid w:val="0098172E"/>
    <w:rsid w:val="009817F8"/>
    <w:rsid w:val="009819A6"/>
    <w:rsid w:val="0099061B"/>
    <w:rsid w:val="00991847"/>
    <w:rsid w:val="009952D5"/>
    <w:rsid w:val="009975C2"/>
    <w:rsid w:val="009A2899"/>
    <w:rsid w:val="009A56B7"/>
    <w:rsid w:val="009B2993"/>
    <w:rsid w:val="009C0C04"/>
    <w:rsid w:val="009C1717"/>
    <w:rsid w:val="009C569A"/>
    <w:rsid w:val="009C5E15"/>
    <w:rsid w:val="009C60E1"/>
    <w:rsid w:val="009C6A7C"/>
    <w:rsid w:val="009D12DE"/>
    <w:rsid w:val="009D1C82"/>
    <w:rsid w:val="009D2202"/>
    <w:rsid w:val="009D3A64"/>
    <w:rsid w:val="009D623F"/>
    <w:rsid w:val="009D6BC0"/>
    <w:rsid w:val="009E0A63"/>
    <w:rsid w:val="009E2AF0"/>
    <w:rsid w:val="009E5CB6"/>
    <w:rsid w:val="009F497A"/>
    <w:rsid w:val="009F5B9A"/>
    <w:rsid w:val="009F6DC7"/>
    <w:rsid w:val="009F6E50"/>
    <w:rsid w:val="00A00798"/>
    <w:rsid w:val="00A06660"/>
    <w:rsid w:val="00A1741B"/>
    <w:rsid w:val="00A209CD"/>
    <w:rsid w:val="00A2549F"/>
    <w:rsid w:val="00A26C25"/>
    <w:rsid w:val="00A30079"/>
    <w:rsid w:val="00A30FFB"/>
    <w:rsid w:val="00A33E85"/>
    <w:rsid w:val="00A3559B"/>
    <w:rsid w:val="00A366B2"/>
    <w:rsid w:val="00A404F3"/>
    <w:rsid w:val="00A447AC"/>
    <w:rsid w:val="00A4690F"/>
    <w:rsid w:val="00A514D1"/>
    <w:rsid w:val="00A545ED"/>
    <w:rsid w:val="00A57B46"/>
    <w:rsid w:val="00A602B0"/>
    <w:rsid w:val="00A60570"/>
    <w:rsid w:val="00A60889"/>
    <w:rsid w:val="00A621A8"/>
    <w:rsid w:val="00A75046"/>
    <w:rsid w:val="00A7588A"/>
    <w:rsid w:val="00A81933"/>
    <w:rsid w:val="00A81FCF"/>
    <w:rsid w:val="00A83A79"/>
    <w:rsid w:val="00A84166"/>
    <w:rsid w:val="00A92A38"/>
    <w:rsid w:val="00A936AA"/>
    <w:rsid w:val="00A95C89"/>
    <w:rsid w:val="00A960BA"/>
    <w:rsid w:val="00AA2497"/>
    <w:rsid w:val="00AA2994"/>
    <w:rsid w:val="00AA3CBE"/>
    <w:rsid w:val="00AA5581"/>
    <w:rsid w:val="00AA670B"/>
    <w:rsid w:val="00AB10D7"/>
    <w:rsid w:val="00AB3B48"/>
    <w:rsid w:val="00AB4FB9"/>
    <w:rsid w:val="00AB619F"/>
    <w:rsid w:val="00AC0F43"/>
    <w:rsid w:val="00AC339E"/>
    <w:rsid w:val="00AC33BE"/>
    <w:rsid w:val="00AC4833"/>
    <w:rsid w:val="00AC5298"/>
    <w:rsid w:val="00AC56A8"/>
    <w:rsid w:val="00AC5867"/>
    <w:rsid w:val="00AC587E"/>
    <w:rsid w:val="00AC775B"/>
    <w:rsid w:val="00AD205E"/>
    <w:rsid w:val="00AD2757"/>
    <w:rsid w:val="00AD342C"/>
    <w:rsid w:val="00AD5C44"/>
    <w:rsid w:val="00AE23D9"/>
    <w:rsid w:val="00AE5E21"/>
    <w:rsid w:val="00AE5F41"/>
    <w:rsid w:val="00AF0C49"/>
    <w:rsid w:val="00AF4ECD"/>
    <w:rsid w:val="00B005CD"/>
    <w:rsid w:val="00B0074A"/>
    <w:rsid w:val="00B01B03"/>
    <w:rsid w:val="00B02501"/>
    <w:rsid w:val="00B0380D"/>
    <w:rsid w:val="00B07CAC"/>
    <w:rsid w:val="00B15BD8"/>
    <w:rsid w:val="00B16DA4"/>
    <w:rsid w:val="00B178D4"/>
    <w:rsid w:val="00B236B0"/>
    <w:rsid w:val="00B34F49"/>
    <w:rsid w:val="00B4082A"/>
    <w:rsid w:val="00B42CA3"/>
    <w:rsid w:val="00B46ACC"/>
    <w:rsid w:val="00B5587D"/>
    <w:rsid w:val="00B56C98"/>
    <w:rsid w:val="00B6181E"/>
    <w:rsid w:val="00B63236"/>
    <w:rsid w:val="00B64FD1"/>
    <w:rsid w:val="00B67EAD"/>
    <w:rsid w:val="00B75CB4"/>
    <w:rsid w:val="00B75D98"/>
    <w:rsid w:val="00B81D18"/>
    <w:rsid w:val="00B847E2"/>
    <w:rsid w:val="00B91954"/>
    <w:rsid w:val="00B932CF"/>
    <w:rsid w:val="00B967CB"/>
    <w:rsid w:val="00B96AA2"/>
    <w:rsid w:val="00BB0C6C"/>
    <w:rsid w:val="00BB189A"/>
    <w:rsid w:val="00BC1383"/>
    <w:rsid w:val="00BC2C81"/>
    <w:rsid w:val="00BC6AB9"/>
    <w:rsid w:val="00BD10BF"/>
    <w:rsid w:val="00BD1821"/>
    <w:rsid w:val="00BD22C6"/>
    <w:rsid w:val="00BD4588"/>
    <w:rsid w:val="00BD5B45"/>
    <w:rsid w:val="00BE33C2"/>
    <w:rsid w:val="00BE4ADA"/>
    <w:rsid w:val="00BE4E1D"/>
    <w:rsid w:val="00BE56CA"/>
    <w:rsid w:val="00BE7332"/>
    <w:rsid w:val="00BE79C0"/>
    <w:rsid w:val="00BF081E"/>
    <w:rsid w:val="00BF6DF9"/>
    <w:rsid w:val="00BF7AB9"/>
    <w:rsid w:val="00C007C0"/>
    <w:rsid w:val="00C051AB"/>
    <w:rsid w:val="00C05369"/>
    <w:rsid w:val="00C10670"/>
    <w:rsid w:val="00C131DA"/>
    <w:rsid w:val="00C14271"/>
    <w:rsid w:val="00C15D16"/>
    <w:rsid w:val="00C205D3"/>
    <w:rsid w:val="00C20AD3"/>
    <w:rsid w:val="00C21111"/>
    <w:rsid w:val="00C2216B"/>
    <w:rsid w:val="00C2425C"/>
    <w:rsid w:val="00C32308"/>
    <w:rsid w:val="00C408FD"/>
    <w:rsid w:val="00C469D0"/>
    <w:rsid w:val="00C47009"/>
    <w:rsid w:val="00C478A5"/>
    <w:rsid w:val="00C53B5E"/>
    <w:rsid w:val="00C53FD9"/>
    <w:rsid w:val="00C55033"/>
    <w:rsid w:val="00C60D4E"/>
    <w:rsid w:val="00C61181"/>
    <w:rsid w:val="00C620FE"/>
    <w:rsid w:val="00C631C9"/>
    <w:rsid w:val="00C66ECA"/>
    <w:rsid w:val="00C70386"/>
    <w:rsid w:val="00C703E6"/>
    <w:rsid w:val="00C70859"/>
    <w:rsid w:val="00C720AD"/>
    <w:rsid w:val="00C72E33"/>
    <w:rsid w:val="00C74501"/>
    <w:rsid w:val="00C766EE"/>
    <w:rsid w:val="00C83EA0"/>
    <w:rsid w:val="00C85E75"/>
    <w:rsid w:val="00C91C9F"/>
    <w:rsid w:val="00C91D43"/>
    <w:rsid w:val="00C9668E"/>
    <w:rsid w:val="00CA4C48"/>
    <w:rsid w:val="00CA6D93"/>
    <w:rsid w:val="00CB146B"/>
    <w:rsid w:val="00CB22CD"/>
    <w:rsid w:val="00CB5FD7"/>
    <w:rsid w:val="00CB6FED"/>
    <w:rsid w:val="00CC2A14"/>
    <w:rsid w:val="00CD2857"/>
    <w:rsid w:val="00CE0542"/>
    <w:rsid w:val="00CE21D3"/>
    <w:rsid w:val="00CE2D31"/>
    <w:rsid w:val="00CE4CFE"/>
    <w:rsid w:val="00CF0CBE"/>
    <w:rsid w:val="00CF1251"/>
    <w:rsid w:val="00CF4023"/>
    <w:rsid w:val="00CF4A49"/>
    <w:rsid w:val="00CF5495"/>
    <w:rsid w:val="00CF6895"/>
    <w:rsid w:val="00CF6DD3"/>
    <w:rsid w:val="00D00EA5"/>
    <w:rsid w:val="00D07EF9"/>
    <w:rsid w:val="00D1048A"/>
    <w:rsid w:val="00D112E0"/>
    <w:rsid w:val="00D115D1"/>
    <w:rsid w:val="00D13D01"/>
    <w:rsid w:val="00D166EB"/>
    <w:rsid w:val="00D1791E"/>
    <w:rsid w:val="00D20A7B"/>
    <w:rsid w:val="00D2669E"/>
    <w:rsid w:val="00D26818"/>
    <w:rsid w:val="00D27445"/>
    <w:rsid w:val="00D30F6C"/>
    <w:rsid w:val="00D33898"/>
    <w:rsid w:val="00D33F60"/>
    <w:rsid w:val="00D42693"/>
    <w:rsid w:val="00D43437"/>
    <w:rsid w:val="00D46267"/>
    <w:rsid w:val="00D506E0"/>
    <w:rsid w:val="00D53D5C"/>
    <w:rsid w:val="00D544B3"/>
    <w:rsid w:val="00D56B06"/>
    <w:rsid w:val="00D60855"/>
    <w:rsid w:val="00D621B2"/>
    <w:rsid w:val="00D62499"/>
    <w:rsid w:val="00D63ECC"/>
    <w:rsid w:val="00D6461E"/>
    <w:rsid w:val="00D67231"/>
    <w:rsid w:val="00D67A6E"/>
    <w:rsid w:val="00D70A96"/>
    <w:rsid w:val="00D73C9E"/>
    <w:rsid w:val="00D82F22"/>
    <w:rsid w:val="00D84054"/>
    <w:rsid w:val="00D87F79"/>
    <w:rsid w:val="00D91AF6"/>
    <w:rsid w:val="00D92C71"/>
    <w:rsid w:val="00DA1A27"/>
    <w:rsid w:val="00DA2EE5"/>
    <w:rsid w:val="00DA7C63"/>
    <w:rsid w:val="00DB2983"/>
    <w:rsid w:val="00DB36E3"/>
    <w:rsid w:val="00DB43CF"/>
    <w:rsid w:val="00DB7373"/>
    <w:rsid w:val="00DC633C"/>
    <w:rsid w:val="00DC643C"/>
    <w:rsid w:val="00DD1767"/>
    <w:rsid w:val="00DD46E9"/>
    <w:rsid w:val="00DD7640"/>
    <w:rsid w:val="00DE137E"/>
    <w:rsid w:val="00DE4A0B"/>
    <w:rsid w:val="00DF2B80"/>
    <w:rsid w:val="00DF73BC"/>
    <w:rsid w:val="00DF7A8C"/>
    <w:rsid w:val="00E019B5"/>
    <w:rsid w:val="00E06403"/>
    <w:rsid w:val="00E0760F"/>
    <w:rsid w:val="00E117CF"/>
    <w:rsid w:val="00E13C18"/>
    <w:rsid w:val="00E15BB3"/>
    <w:rsid w:val="00E30957"/>
    <w:rsid w:val="00E37492"/>
    <w:rsid w:val="00E37E34"/>
    <w:rsid w:val="00E4046F"/>
    <w:rsid w:val="00E418B2"/>
    <w:rsid w:val="00E42612"/>
    <w:rsid w:val="00E451FB"/>
    <w:rsid w:val="00E47AA0"/>
    <w:rsid w:val="00E55829"/>
    <w:rsid w:val="00E57EDD"/>
    <w:rsid w:val="00E62107"/>
    <w:rsid w:val="00E631DE"/>
    <w:rsid w:val="00E6551B"/>
    <w:rsid w:val="00E705C4"/>
    <w:rsid w:val="00E736A1"/>
    <w:rsid w:val="00E80AFB"/>
    <w:rsid w:val="00E814D6"/>
    <w:rsid w:val="00E81567"/>
    <w:rsid w:val="00E82526"/>
    <w:rsid w:val="00E82784"/>
    <w:rsid w:val="00E848B4"/>
    <w:rsid w:val="00E8742F"/>
    <w:rsid w:val="00E91E61"/>
    <w:rsid w:val="00E9357E"/>
    <w:rsid w:val="00E9565D"/>
    <w:rsid w:val="00E9681C"/>
    <w:rsid w:val="00EA072A"/>
    <w:rsid w:val="00EA1452"/>
    <w:rsid w:val="00EA15F6"/>
    <w:rsid w:val="00EA5A0D"/>
    <w:rsid w:val="00EA6874"/>
    <w:rsid w:val="00EB2316"/>
    <w:rsid w:val="00EB4DFC"/>
    <w:rsid w:val="00EB62AE"/>
    <w:rsid w:val="00EB7099"/>
    <w:rsid w:val="00EC336B"/>
    <w:rsid w:val="00EC3FDA"/>
    <w:rsid w:val="00EC5E72"/>
    <w:rsid w:val="00ED14C3"/>
    <w:rsid w:val="00ED20A6"/>
    <w:rsid w:val="00ED2192"/>
    <w:rsid w:val="00EE2901"/>
    <w:rsid w:val="00EE4B9A"/>
    <w:rsid w:val="00EF021A"/>
    <w:rsid w:val="00EF1D53"/>
    <w:rsid w:val="00EF4239"/>
    <w:rsid w:val="00EF690B"/>
    <w:rsid w:val="00EF7C0F"/>
    <w:rsid w:val="00F070A6"/>
    <w:rsid w:val="00F10201"/>
    <w:rsid w:val="00F110A8"/>
    <w:rsid w:val="00F158CE"/>
    <w:rsid w:val="00F1757C"/>
    <w:rsid w:val="00F206AF"/>
    <w:rsid w:val="00F214E1"/>
    <w:rsid w:val="00F2243D"/>
    <w:rsid w:val="00F2454A"/>
    <w:rsid w:val="00F24645"/>
    <w:rsid w:val="00F24A7D"/>
    <w:rsid w:val="00F3426D"/>
    <w:rsid w:val="00F34F50"/>
    <w:rsid w:val="00F351A2"/>
    <w:rsid w:val="00F37086"/>
    <w:rsid w:val="00F40B61"/>
    <w:rsid w:val="00F418BC"/>
    <w:rsid w:val="00F4308D"/>
    <w:rsid w:val="00F5109F"/>
    <w:rsid w:val="00F52010"/>
    <w:rsid w:val="00F53656"/>
    <w:rsid w:val="00F55485"/>
    <w:rsid w:val="00F60686"/>
    <w:rsid w:val="00F65718"/>
    <w:rsid w:val="00F661C4"/>
    <w:rsid w:val="00F66449"/>
    <w:rsid w:val="00F664B2"/>
    <w:rsid w:val="00F671A3"/>
    <w:rsid w:val="00F675EF"/>
    <w:rsid w:val="00F72C0C"/>
    <w:rsid w:val="00F732A7"/>
    <w:rsid w:val="00F74402"/>
    <w:rsid w:val="00F81275"/>
    <w:rsid w:val="00F83C90"/>
    <w:rsid w:val="00F841BA"/>
    <w:rsid w:val="00F84782"/>
    <w:rsid w:val="00F87C75"/>
    <w:rsid w:val="00F90620"/>
    <w:rsid w:val="00F90A18"/>
    <w:rsid w:val="00F92B3C"/>
    <w:rsid w:val="00F93421"/>
    <w:rsid w:val="00F93F6E"/>
    <w:rsid w:val="00F96C6F"/>
    <w:rsid w:val="00F97058"/>
    <w:rsid w:val="00F9729C"/>
    <w:rsid w:val="00FA0678"/>
    <w:rsid w:val="00FA3D2D"/>
    <w:rsid w:val="00FA4353"/>
    <w:rsid w:val="00FA6772"/>
    <w:rsid w:val="00FB41CF"/>
    <w:rsid w:val="00FB45FF"/>
    <w:rsid w:val="00FB669D"/>
    <w:rsid w:val="00FB6B28"/>
    <w:rsid w:val="00FB732C"/>
    <w:rsid w:val="00FC0996"/>
    <w:rsid w:val="00FC61BE"/>
    <w:rsid w:val="00FD3205"/>
    <w:rsid w:val="00FE0DA2"/>
    <w:rsid w:val="00FE1C46"/>
    <w:rsid w:val="00FE1C67"/>
    <w:rsid w:val="00FE2571"/>
    <w:rsid w:val="00FE375D"/>
    <w:rsid w:val="00FE7C10"/>
    <w:rsid w:val="00FF0AE5"/>
    <w:rsid w:val="00FF0C78"/>
    <w:rsid w:val="00FF2536"/>
    <w:rsid w:val="00FF2596"/>
    <w:rsid w:val="00FF2FC2"/>
    <w:rsid w:val="00FF4BD6"/>
    <w:rsid w:val="01742777"/>
    <w:rsid w:val="01E5463B"/>
    <w:rsid w:val="01FA5430"/>
    <w:rsid w:val="021E1B09"/>
    <w:rsid w:val="022320F4"/>
    <w:rsid w:val="02477F33"/>
    <w:rsid w:val="025B777D"/>
    <w:rsid w:val="03210314"/>
    <w:rsid w:val="037D5539"/>
    <w:rsid w:val="03D233FE"/>
    <w:rsid w:val="04406D0B"/>
    <w:rsid w:val="0448260F"/>
    <w:rsid w:val="045B509F"/>
    <w:rsid w:val="04782964"/>
    <w:rsid w:val="048237CA"/>
    <w:rsid w:val="04BE33D2"/>
    <w:rsid w:val="04C14A68"/>
    <w:rsid w:val="05004B2E"/>
    <w:rsid w:val="051234F5"/>
    <w:rsid w:val="05206907"/>
    <w:rsid w:val="055C43E6"/>
    <w:rsid w:val="058170A4"/>
    <w:rsid w:val="059D0A3B"/>
    <w:rsid w:val="05A40C75"/>
    <w:rsid w:val="05F14627"/>
    <w:rsid w:val="06487024"/>
    <w:rsid w:val="065C7DE2"/>
    <w:rsid w:val="065F1083"/>
    <w:rsid w:val="068832E9"/>
    <w:rsid w:val="068A217A"/>
    <w:rsid w:val="0789087F"/>
    <w:rsid w:val="0799090F"/>
    <w:rsid w:val="07AF3622"/>
    <w:rsid w:val="07B32D14"/>
    <w:rsid w:val="07CB708F"/>
    <w:rsid w:val="07E97F24"/>
    <w:rsid w:val="07EC7A56"/>
    <w:rsid w:val="07EF78E4"/>
    <w:rsid w:val="07F95919"/>
    <w:rsid w:val="08663EE7"/>
    <w:rsid w:val="089539E5"/>
    <w:rsid w:val="08A86A78"/>
    <w:rsid w:val="08E64683"/>
    <w:rsid w:val="094B1C23"/>
    <w:rsid w:val="09515173"/>
    <w:rsid w:val="09A00705"/>
    <w:rsid w:val="0A0E44DF"/>
    <w:rsid w:val="0A2771BC"/>
    <w:rsid w:val="0A3B3865"/>
    <w:rsid w:val="0A541814"/>
    <w:rsid w:val="0AD2337E"/>
    <w:rsid w:val="0B0E5BD9"/>
    <w:rsid w:val="0B14156D"/>
    <w:rsid w:val="0B3C13EE"/>
    <w:rsid w:val="0B4C715E"/>
    <w:rsid w:val="0B640A48"/>
    <w:rsid w:val="0B643FA8"/>
    <w:rsid w:val="0B9C1E5E"/>
    <w:rsid w:val="0C365803"/>
    <w:rsid w:val="0C446C92"/>
    <w:rsid w:val="0C514FF8"/>
    <w:rsid w:val="0C8773C6"/>
    <w:rsid w:val="0CC671E6"/>
    <w:rsid w:val="0D015BC4"/>
    <w:rsid w:val="0D3A5C7F"/>
    <w:rsid w:val="0D467741"/>
    <w:rsid w:val="0D5A4CBF"/>
    <w:rsid w:val="0D66141C"/>
    <w:rsid w:val="0D6B7A40"/>
    <w:rsid w:val="0D7651E6"/>
    <w:rsid w:val="0D9161D9"/>
    <w:rsid w:val="0D9B54B6"/>
    <w:rsid w:val="0DE8601A"/>
    <w:rsid w:val="0E037ADB"/>
    <w:rsid w:val="0E463272"/>
    <w:rsid w:val="0E652FD8"/>
    <w:rsid w:val="0E665C9C"/>
    <w:rsid w:val="0E77128E"/>
    <w:rsid w:val="0E865207"/>
    <w:rsid w:val="0EA33040"/>
    <w:rsid w:val="0ED75C07"/>
    <w:rsid w:val="0EDE3E3B"/>
    <w:rsid w:val="0EE00DCA"/>
    <w:rsid w:val="0F0C15B0"/>
    <w:rsid w:val="0F4C23D0"/>
    <w:rsid w:val="0FAD12C4"/>
    <w:rsid w:val="0FB22275"/>
    <w:rsid w:val="0FCE4E65"/>
    <w:rsid w:val="0FD37FA5"/>
    <w:rsid w:val="0FD5355D"/>
    <w:rsid w:val="0FDE55E1"/>
    <w:rsid w:val="10892A30"/>
    <w:rsid w:val="10E373A7"/>
    <w:rsid w:val="1108028F"/>
    <w:rsid w:val="113516A0"/>
    <w:rsid w:val="12955290"/>
    <w:rsid w:val="129D3BB7"/>
    <w:rsid w:val="137B4402"/>
    <w:rsid w:val="13CB1FAA"/>
    <w:rsid w:val="14395BDC"/>
    <w:rsid w:val="14467CB5"/>
    <w:rsid w:val="1455113A"/>
    <w:rsid w:val="145B4587"/>
    <w:rsid w:val="1469455B"/>
    <w:rsid w:val="14F56C82"/>
    <w:rsid w:val="15132524"/>
    <w:rsid w:val="156F406B"/>
    <w:rsid w:val="15985B4D"/>
    <w:rsid w:val="15BE5234"/>
    <w:rsid w:val="15D65DA9"/>
    <w:rsid w:val="162E3508"/>
    <w:rsid w:val="16311A12"/>
    <w:rsid w:val="16542F99"/>
    <w:rsid w:val="16834ED9"/>
    <w:rsid w:val="169B5CD8"/>
    <w:rsid w:val="172F3C51"/>
    <w:rsid w:val="17660D51"/>
    <w:rsid w:val="17AA203A"/>
    <w:rsid w:val="17F26C36"/>
    <w:rsid w:val="18365C84"/>
    <w:rsid w:val="1860396D"/>
    <w:rsid w:val="18922FBC"/>
    <w:rsid w:val="18C86221"/>
    <w:rsid w:val="19395B70"/>
    <w:rsid w:val="195C59D1"/>
    <w:rsid w:val="198912B5"/>
    <w:rsid w:val="19D67267"/>
    <w:rsid w:val="19DF2487"/>
    <w:rsid w:val="1A3B7BD5"/>
    <w:rsid w:val="1A3D549E"/>
    <w:rsid w:val="1A455B04"/>
    <w:rsid w:val="1A53553F"/>
    <w:rsid w:val="1A9737AA"/>
    <w:rsid w:val="1ACE6F81"/>
    <w:rsid w:val="1AD54B6A"/>
    <w:rsid w:val="1AEF1870"/>
    <w:rsid w:val="1B002AE6"/>
    <w:rsid w:val="1B51360E"/>
    <w:rsid w:val="1B856358"/>
    <w:rsid w:val="1B8C7408"/>
    <w:rsid w:val="1BC40E15"/>
    <w:rsid w:val="1BFC6585"/>
    <w:rsid w:val="1C0C55EF"/>
    <w:rsid w:val="1C48718B"/>
    <w:rsid w:val="1CE85454"/>
    <w:rsid w:val="1D175D8D"/>
    <w:rsid w:val="1D4C53D1"/>
    <w:rsid w:val="1D6B4180"/>
    <w:rsid w:val="1D921789"/>
    <w:rsid w:val="1DDE065B"/>
    <w:rsid w:val="1E163793"/>
    <w:rsid w:val="1E3149CB"/>
    <w:rsid w:val="1E523F25"/>
    <w:rsid w:val="1F3946D5"/>
    <w:rsid w:val="1FA5173C"/>
    <w:rsid w:val="1FF97A1F"/>
    <w:rsid w:val="20211D75"/>
    <w:rsid w:val="206B51EC"/>
    <w:rsid w:val="2078172C"/>
    <w:rsid w:val="208813B7"/>
    <w:rsid w:val="208965F1"/>
    <w:rsid w:val="209C4BFC"/>
    <w:rsid w:val="20CB0D7C"/>
    <w:rsid w:val="20E77939"/>
    <w:rsid w:val="20FC4492"/>
    <w:rsid w:val="211371B2"/>
    <w:rsid w:val="21587E83"/>
    <w:rsid w:val="216F057F"/>
    <w:rsid w:val="21902A15"/>
    <w:rsid w:val="21B02EC3"/>
    <w:rsid w:val="21BD0B23"/>
    <w:rsid w:val="21C0671D"/>
    <w:rsid w:val="21F73425"/>
    <w:rsid w:val="22803C63"/>
    <w:rsid w:val="231C7527"/>
    <w:rsid w:val="23305850"/>
    <w:rsid w:val="234902AA"/>
    <w:rsid w:val="24256C17"/>
    <w:rsid w:val="242F0348"/>
    <w:rsid w:val="243F2061"/>
    <w:rsid w:val="24523011"/>
    <w:rsid w:val="24644788"/>
    <w:rsid w:val="24701334"/>
    <w:rsid w:val="24CD4E2C"/>
    <w:rsid w:val="24D466A3"/>
    <w:rsid w:val="24E37024"/>
    <w:rsid w:val="24F07A11"/>
    <w:rsid w:val="25281697"/>
    <w:rsid w:val="2581246F"/>
    <w:rsid w:val="25B657AF"/>
    <w:rsid w:val="26057441"/>
    <w:rsid w:val="26615CC2"/>
    <w:rsid w:val="2666564B"/>
    <w:rsid w:val="267B0566"/>
    <w:rsid w:val="26C1471A"/>
    <w:rsid w:val="26D26440"/>
    <w:rsid w:val="26F840A1"/>
    <w:rsid w:val="271206BB"/>
    <w:rsid w:val="27153C5D"/>
    <w:rsid w:val="277A6717"/>
    <w:rsid w:val="27805E67"/>
    <w:rsid w:val="27A165FB"/>
    <w:rsid w:val="27D30A76"/>
    <w:rsid w:val="27D4401F"/>
    <w:rsid w:val="280505E8"/>
    <w:rsid w:val="281E34C8"/>
    <w:rsid w:val="283E0502"/>
    <w:rsid w:val="28701EFB"/>
    <w:rsid w:val="287F556F"/>
    <w:rsid w:val="28BB66E9"/>
    <w:rsid w:val="2931314F"/>
    <w:rsid w:val="29443C8D"/>
    <w:rsid w:val="2A251270"/>
    <w:rsid w:val="2A4A45B1"/>
    <w:rsid w:val="2A5A732F"/>
    <w:rsid w:val="2B15414B"/>
    <w:rsid w:val="2B184960"/>
    <w:rsid w:val="2B31550B"/>
    <w:rsid w:val="2B5541D7"/>
    <w:rsid w:val="2B6712BC"/>
    <w:rsid w:val="2B801A35"/>
    <w:rsid w:val="2BA63943"/>
    <w:rsid w:val="2C103D29"/>
    <w:rsid w:val="2C205D92"/>
    <w:rsid w:val="2C4374E8"/>
    <w:rsid w:val="2C540221"/>
    <w:rsid w:val="2C5D46AC"/>
    <w:rsid w:val="2CA34391"/>
    <w:rsid w:val="2D1B1607"/>
    <w:rsid w:val="2D1B1E27"/>
    <w:rsid w:val="2D1D582E"/>
    <w:rsid w:val="2D265823"/>
    <w:rsid w:val="2D2A612A"/>
    <w:rsid w:val="2D453FC5"/>
    <w:rsid w:val="2D593601"/>
    <w:rsid w:val="2DEE170F"/>
    <w:rsid w:val="2E04371E"/>
    <w:rsid w:val="2ED87FAA"/>
    <w:rsid w:val="2EE2702D"/>
    <w:rsid w:val="2F016BDB"/>
    <w:rsid w:val="2F1879A9"/>
    <w:rsid w:val="2F44412D"/>
    <w:rsid w:val="2F6D4585"/>
    <w:rsid w:val="2FFE0053"/>
    <w:rsid w:val="2FFE4AEE"/>
    <w:rsid w:val="300D160E"/>
    <w:rsid w:val="301345F3"/>
    <w:rsid w:val="307D1613"/>
    <w:rsid w:val="3087472F"/>
    <w:rsid w:val="30E63EC7"/>
    <w:rsid w:val="30EF3787"/>
    <w:rsid w:val="3117376D"/>
    <w:rsid w:val="31283FDA"/>
    <w:rsid w:val="31362FA9"/>
    <w:rsid w:val="314101B1"/>
    <w:rsid w:val="31AA44A8"/>
    <w:rsid w:val="31C36288"/>
    <w:rsid w:val="32596FD2"/>
    <w:rsid w:val="32910BBD"/>
    <w:rsid w:val="32A51E5A"/>
    <w:rsid w:val="32AA16AA"/>
    <w:rsid w:val="32B12074"/>
    <w:rsid w:val="32C33AC6"/>
    <w:rsid w:val="330A5FCE"/>
    <w:rsid w:val="331109D4"/>
    <w:rsid w:val="331138F3"/>
    <w:rsid w:val="33114F0A"/>
    <w:rsid w:val="33446B20"/>
    <w:rsid w:val="334A323C"/>
    <w:rsid w:val="33741E55"/>
    <w:rsid w:val="339265B5"/>
    <w:rsid w:val="33F14B86"/>
    <w:rsid w:val="352C761F"/>
    <w:rsid w:val="35630177"/>
    <w:rsid w:val="3586116E"/>
    <w:rsid w:val="35B7110B"/>
    <w:rsid w:val="35B77C37"/>
    <w:rsid w:val="35BA6613"/>
    <w:rsid w:val="36567AF3"/>
    <w:rsid w:val="366D58CE"/>
    <w:rsid w:val="3717587A"/>
    <w:rsid w:val="3720532C"/>
    <w:rsid w:val="373E7EA2"/>
    <w:rsid w:val="37E471EB"/>
    <w:rsid w:val="37E73E34"/>
    <w:rsid w:val="37EB3A84"/>
    <w:rsid w:val="380A25CD"/>
    <w:rsid w:val="382354FD"/>
    <w:rsid w:val="383A4C4B"/>
    <w:rsid w:val="3855601F"/>
    <w:rsid w:val="386C25A1"/>
    <w:rsid w:val="38BC094D"/>
    <w:rsid w:val="390342CD"/>
    <w:rsid w:val="39266918"/>
    <w:rsid w:val="395217BB"/>
    <w:rsid w:val="39533A3D"/>
    <w:rsid w:val="3A0B2146"/>
    <w:rsid w:val="3A477CA4"/>
    <w:rsid w:val="3A6B02E8"/>
    <w:rsid w:val="3A6C0F75"/>
    <w:rsid w:val="3B354BC4"/>
    <w:rsid w:val="3B437DE5"/>
    <w:rsid w:val="3B482D64"/>
    <w:rsid w:val="3B8F021C"/>
    <w:rsid w:val="3B991306"/>
    <w:rsid w:val="3B9A4AB8"/>
    <w:rsid w:val="3B9E3811"/>
    <w:rsid w:val="3BDE7874"/>
    <w:rsid w:val="3C1E4885"/>
    <w:rsid w:val="3C64564A"/>
    <w:rsid w:val="3C680961"/>
    <w:rsid w:val="3CD71BD7"/>
    <w:rsid w:val="3D746C7F"/>
    <w:rsid w:val="3D9713B2"/>
    <w:rsid w:val="3DAE1631"/>
    <w:rsid w:val="3DD56765"/>
    <w:rsid w:val="3E0823E1"/>
    <w:rsid w:val="3E2F085E"/>
    <w:rsid w:val="3E317C1C"/>
    <w:rsid w:val="3E837109"/>
    <w:rsid w:val="3E875CA5"/>
    <w:rsid w:val="3EF1332A"/>
    <w:rsid w:val="3F306B95"/>
    <w:rsid w:val="3F6641F0"/>
    <w:rsid w:val="3F7F23EF"/>
    <w:rsid w:val="3F9B17AC"/>
    <w:rsid w:val="3F9C2221"/>
    <w:rsid w:val="3FAD7AD5"/>
    <w:rsid w:val="3FC82E32"/>
    <w:rsid w:val="3FD406D3"/>
    <w:rsid w:val="4016074C"/>
    <w:rsid w:val="405F6E58"/>
    <w:rsid w:val="40EA0F5B"/>
    <w:rsid w:val="417048DF"/>
    <w:rsid w:val="41717D66"/>
    <w:rsid w:val="418961CC"/>
    <w:rsid w:val="41A17A4F"/>
    <w:rsid w:val="41BF28A5"/>
    <w:rsid w:val="41BF47FE"/>
    <w:rsid w:val="41E573A0"/>
    <w:rsid w:val="41E703EA"/>
    <w:rsid w:val="4203015A"/>
    <w:rsid w:val="42307BF5"/>
    <w:rsid w:val="423D5569"/>
    <w:rsid w:val="42C70938"/>
    <w:rsid w:val="42FC2B93"/>
    <w:rsid w:val="430E248A"/>
    <w:rsid w:val="430F5932"/>
    <w:rsid w:val="43112FD9"/>
    <w:rsid w:val="437533DD"/>
    <w:rsid w:val="437679C8"/>
    <w:rsid w:val="43A97B6E"/>
    <w:rsid w:val="43C12764"/>
    <w:rsid w:val="43C9654A"/>
    <w:rsid w:val="443E0939"/>
    <w:rsid w:val="453F7BF1"/>
    <w:rsid w:val="454078EC"/>
    <w:rsid w:val="455D3F85"/>
    <w:rsid w:val="45B36B1E"/>
    <w:rsid w:val="460D3119"/>
    <w:rsid w:val="460F4F80"/>
    <w:rsid w:val="461113DC"/>
    <w:rsid w:val="464D3597"/>
    <w:rsid w:val="46AE55AD"/>
    <w:rsid w:val="46BA05A1"/>
    <w:rsid w:val="476122A4"/>
    <w:rsid w:val="476D6726"/>
    <w:rsid w:val="47C758F2"/>
    <w:rsid w:val="487B7A7D"/>
    <w:rsid w:val="487F6494"/>
    <w:rsid w:val="48F015BB"/>
    <w:rsid w:val="49105866"/>
    <w:rsid w:val="4913780A"/>
    <w:rsid w:val="49144D0A"/>
    <w:rsid w:val="492B191E"/>
    <w:rsid w:val="49635A72"/>
    <w:rsid w:val="496907E5"/>
    <w:rsid w:val="49745C5A"/>
    <w:rsid w:val="49817CAF"/>
    <w:rsid w:val="49856FD3"/>
    <w:rsid w:val="49CB2674"/>
    <w:rsid w:val="49D749E7"/>
    <w:rsid w:val="49E67F0B"/>
    <w:rsid w:val="49F361C7"/>
    <w:rsid w:val="4AD4016E"/>
    <w:rsid w:val="4AE32C96"/>
    <w:rsid w:val="4AF555B3"/>
    <w:rsid w:val="4B566DEF"/>
    <w:rsid w:val="4B627DE1"/>
    <w:rsid w:val="4BD2429F"/>
    <w:rsid w:val="4BE0635A"/>
    <w:rsid w:val="4BF479C0"/>
    <w:rsid w:val="4C2D1EDF"/>
    <w:rsid w:val="4C3E0F65"/>
    <w:rsid w:val="4C632457"/>
    <w:rsid w:val="4C7C662B"/>
    <w:rsid w:val="4CB00079"/>
    <w:rsid w:val="4CF03D76"/>
    <w:rsid w:val="4D0C6542"/>
    <w:rsid w:val="4D337162"/>
    <w:rsid w:val="4D3D3DF1"/>
    <w:rsid w:val="4D524879"/>
    <w:rsid w:val="4D9246C2"/>
    <w:rsid w:val="4DA02AB5"/>
    <w:rsid w:val="4DB749F3"/>
    <w:rsid w:val="4DBC311C"/>
    <w:rsid w:val="4DC223ED"/>
    <w:rsid w:val="4DCA51EB"/>
    <w:rsid w:val="4DD310CC"/>
    <w:rsid w:val="4DF53017"/>
    <w:rsid w:val="4E2B03A9"/>
    <w:rsid w:val="4E581088"/>
    <w:rsid w:val="4EBD03BB"/>
    <w:rsid w:val="4EC37ECD"/>
    <w:rsid w:val="4EDD6B1D"/>
    <w:rsid w:val="4EF54353"/>
    <w:rsid w:val="4EF74C60"/>
    <w:rsid w:val="4F334899"/>
    <w:rsid w:val="4F546B47"/>
    <w:rsid w:val="4FC612E5"/>
    <w:rsid w:val="4FC74FC9"/>
    <w:rsid w:val="4FEC7D8E"/>
    <w:rsid w:val="4FFE2FA6"/>
    <w:rsid w:val="500202BE"/>
    <w:rsid w:val="5018654F"/>
    <w:rsid w:val="504724FB"/>
    <w:rsid w:val="510F1B1A"/>
    <w:rsid w:val="51163E98"/>
    <w:rsid w:val="515D4A5C"/>
    <w:rsid w:val="51A60112"/>
    <w:rsid w:val="522E0F5A"/>
    <w:rsid w:val="52324D08"/>
    <w:rsid w:val="523A7BBB"/>
    <w:rsid w:val="52432175"/>
    <w:rsid w:val="525D295E"/>
    <w:rsid w:val="526073D7"/>
    <w:rsid w:val="52B47A69"/>
    <w:rsid w:val="52E111F5"/>
    <w:rsid w:val="534741F6"/>
    <w:rsid w:val="53F6256E"/>
    <w:rsid w:val="545E6DAC"/>
    <w:rsid w:val="547C3118"/>
    <w:rsid w:val="54F464E0"/>
    <w:rsid w:val="550B20E0"/>
    <w:rsid w:val="5530608B"/>
    <w:rsid w:val="553C1C3C"/>
    <w:rsid w:val="554D35F6"/>
    <w:rsid w:val="5608252D"/>
    <w:rsid w:val="56B6394D"/>
    <w:rsid w:val="56C963A4"/>
    <w:rsid w:val="56D30443"/>
    <w:rsid w:val="56E33C62"/>
    <w:rsid w:val="56F979AB"/>
    <w:rsid w:val="56FE1A1F"/>
    <w:rsid w:val="57096939"/>
    <w:rsid w:val="57533067"/>
    <w:rsid w:val="577C11FE"/>
    <w:rsid w:val="579F2422"/>
    <w:rsid w:val="582E61DA"/>
    <w:rsid w:val="583A42A6"/>
    <w:rsid w:val="588C6EE1"/>
    <w:rsid w:val="58CC7D22"/>
    <w:rsid w:val="592E2A63"/>
    <w:rsid w:val="5959349E"/>
    <w:rsid w:val="59A03923"/>
    <w:rsid w:val="59BE7D70"/>
    <w:rsid w:val="59E462AF"/>
    <w:rsid w:val="59FE763A"/>
    <w:rsid w:val="5A1E3B52"/>
    <w:rsid w:val="5A4855DF"/>
    <w:rsid w:val="5A53318A"/>
    <w:rsid w:val="5A5C1D71"/>
    <w:rsid w:val="5AA4161A"/>
    <w:rsid w:val="5B2E6E24"/>
    <w:rsid w:val="5B3240FE"/>
    <w:rsid w:val="5B3A60CA"/>
    <w:rsid w:val="5B5D7B80"/>
    <w:rsid w:val="5B5E2173"/>
    <w:rsid w:val="5B770646"/>
    <w:rsid w:val="5B90180D"/>
    <w:rsid w:val="5BFA3EB3"/>
    <w:rsid w:val="5C22109E"/>
    <w:rsid w:val="5C6D5892"/>
    <w:rsid w:val="5C6E0110"/>
    <w:rsid w:val="5C6F1F72"/>
    <w:rsid w:val="5CBD6CF6"/>
    <w:rsid w:val="5D00146F"/>
    <w:rsid w:val="5D1B1C03"/>
    <w:rsid w:val="5D294F34"/>
    <w:rsid w:val="5D756AE9"/>
    <w:rsid w:val="5DA47554"/>
    <w:rsid w:val="5DA761B8"/>
    <w:rsid w:val="5DCF42FC"/>
    <w:rsid w:val="5E1E08E9"/>
    <w:rsid w:val="5E2E0711"/>
    <w:rsid w:val="5E317F64"/>
    <w:rsid w:val="5E35245A"/>
    <w:rsid w:val="5E451ADD"/>
    <w:rsid w:val="5E6F2099"/>
    <w:rsid w:val="5E9B6A48"/>
    <w:rsid w:val="5EA46FE0"/>
    <w:rsid w:val="5F087CDF"/>
    <w:rsid w:val="5F3E4F2D"/>
    <w:rsid w:val="5F89397D"/>
    <w:rsid w:val="600C26BB"/>
    <w:rsid w:val="602D0AA2"/>
    <w:rsid w:val="604A2AF9"/>
    <w:rsid w:val="604B07BC"/>
    <w:rsid w:val="604E3447"/>
    <w:rsid w:val="60C76BAC"/>
    <w:rsid w:val="613A6BE4"/>
    <w:rsid w:val="61933180"/>
    <w:rsid w:val="61ED7C37"/>
    <w:rsid w:val="621122B1"/>
    <w:rsid w:val="6212586E"/>
    <w:rsid w:val="622D2B6A"/>
    <w:rsid w:val="62705BDD"/>
    <w:rsid w:val="62D15A29"/>
    <w:rsid w:val="62D81389"/>
    <w:rsid w:val="63480BAB"/>
    <w:rsid w:val="641031F0"/>
    <w:rsid w:val="64462A2A"/>
    <w:rsid w:val="649B0053"/>
    <w:rsid w:val="64A55332"/>
    <w:rsid w:val="650D11C5"/>
    <w:rsid w:val="65132279"/>
    <w:rsid w:val="656245A1"/>
    <w:rsid w:val="65625FCE"/>
    <w:rsid w:val="659D1B1F"/>
    <w:rsid w:val="660910AA"/>
    <w:rsid w:val="6655544D"/>
    <w:rsid w:val="66B9199B"/>
    <w:rsid w:val="66FD481D"/>
    <w:rsid w:val="67077622"/>
    <w:rsid w:val="675E3DDC"/>
    <w:rsid w:val="67EC7788"/>
    <w:rsid w:val="68A703A7"/>
    <w:rsid w:val="68A74EFD"/>
    <w:rsid w:val="690C5BEA"/>
    <w:rsid w:val="6928173C"/>
    <w:rsid w:val="69294FFD"/>
    <w:rsid w:val="693E1C55"/>
    <w:rsid w:val="69820E6B"/>
    <w:rsid w:val="698E2B96"/>
    <w:rsid w:val="6A0515CA"/>
    <w:rsid w:val="6A780EBC"/>
    <w:rsid w:val="6AB36936"/>
    <w:rsid w:val="6ABA5C23"/>
    <w:rsid w:val="6B1A09AE"/>
    <w:rsid w:val="6B633033"/>
    <w:rsid w:val="6BAD2987"/>
    <w:rsid w:val="6BB569D3"/>
    <w:rsid w:val="6BF12A18"/>
    <w:rsid w:val="6CA51E70"/>
    <w:rsid w:val="6CBC27D1"/>
    <w:rsid w:val="6CC22B79"/>
    <w:rsid w:val="6D3F0B18"/>
    <w:rsid w:val="6D725C14"/>
    <w:rsid w:val="6DC73C70"/>
    <w:rsid w:val="6DDB360F"/>
    <w:rsid w:val="6E0A66E6"/>
    <w:rsid w:val="6E212BA9"/>
    <w:rsid w:val="6E2408D0"/>
    <w:rsid w:val="6E2F3D6D"/>
    <w:rsid w:val="6E65602B"/>
    <w:rsid w:val="6E7B49EF"/>
    <w:rsid w:val="6E8C6E2B"/>
    <w:rsid w:val="6EBC7AD3"/>
    <w:rsid w:val="6EDB4AB8"/>
    <w:rsid w:val="6EEE7CD4"/>
    <w:rsid w:val="6EF836FB"/>
    <w:rsid w:val="6F1D0D36"/>
    <w:rsid w:val="6F4B17D2"/>
    <w:rsid w:val="6F507644"/>
    <w:rsid w:val="6F79258F"/>
    <w:rsid w:val="6F7E1621"/>
    <w:rsid w:val="6FF41B2D"/>
    <w:rsid w:val="6FFB5C86"/>
    <w:rsid w:val="70667789"/>
    <w:rsid w:val="70A9247D"/>
    <w:rsid w:val="70E3596C"/>
    <w:rsid w:val="70EB7F0F"/>
    <w:rsid w:val="71070FB9"/>
    <w:rsid w:val="71141EBD"/>
    <w:rsid w:val="712B7E03"/>
    <w:rsid w:val="718E31CB"/>
    <w:rsid w:val="71A37A7A"/>
    <w:rsid w:val="71B14A38"/>
    <w:rsid w:val="71DC7D46"/>
    <w:rsid w:val="71F65A61"/>
    <w:rsid w:val="724723EA"/>
    <w:rsid w:val="72671B38"/>
    <w:rsid w:val="72B974F8"/>
    <w:rsid w:val="72D06D32"/>
    <w:rsid w:val="72E7532F"/>
    <w:rsid w:val="72F002F3"/>
    <w:rsid w:val="72F74475"/>
    <w:rsid w:val="731B5B4B"/>
    <w:rsid w:val="733548D5"/>
    <w:rsid w:val="73687FAF"/>
    <w:rsid w:val="73793457"/>
    <w:rsid w:val="73C40A3E"/>
    <w:rsid w:val="73CE7F2D"/>
    <w:rsid w:val="7411618C"/>
    <w:rsid w:val="745B4848"/>
    <w:rsid w:val="7463455B"/>
    <w:rsid w:val="748C1AC4"/>
    <w:rsid w:val="74BB3061"/>
    <w:rsid w:val="74CA5BB9"/>
    <w:rsid w:val="74CF4842"/>
    <w:rsid w:val="74D129CD"/>
    <w:rsid w:val="750B644F"/>
    <w:rsid w:val="752C7F0D"/>
    <w:rsid w:val="75923888"/>
    <w:rsid w:val="75A4333E"/>
    <w:rsid w:val="75A9764D"/>
    <w:rsid w:val="75C164BC"/>
    <w:rsid w:val="7627735B"/>
    <w:rsid w:val="762D47DF"/>
    <w:rsid w:val="76392678"/>
    <w:rsid w:val="76E22DCE"/>
    <w:rsid w:val="778D3A44"/>
    <w:rsid w:val="77C361CC"/>
    <w:rsid w:val="77D64E2A"/>
    <w:rsid w:val="77FD6B96"/>
    <w:rsid w:val="78327410"/>
    <w:rsid w:val="78391C55"/>
    <w:rsid w:val="78476493"/>
    <w:rsid w:val="7858419E"/>
    <w:rsid w:val="7867682F"/>
    <w:rsid w:val="789D56E5"/>
    <w:rsid w:val="78D10EAB"/>
    <w:rsid w:val="78D77FA6"/>
    <w:rsid w:val="78F306B9"/>
    <w:rsid w:val="792E4668"/>
    <w:rsid w:val="79403347"/>
    <w:rsid w:val="79795E19"/>
    <w:rsid w:val="79977780"/>
    <w:rsid w:val="79A64319"/>
    <w:rsid w:val="79B44C15"/>
    <w:rsid w:val="79C7135A"/>
    <w:rsid w:val="7A020293"/>
    <w:rsid w:val="7A5518D5"/>
    <w:rsid w:val="7A5F2B04"/>
    <w:rsid w:val="7A882CBF"/>
    <w:rsid w:val="7ABF3414"/>
    <w:rsid w:val="7AE66C6E"/>
    <w:rsid w:val="7AF23C70"/>
    <w:rsid w:val="7AFC2167"/>
    <w:rsid w:val="7B485AA6"/>
    <w:rsid w:val="7B7705C6"/>
    <w:rsid w:val="7BA75713"/>
    <w:rsid w:val="7BB36650"/>
    <w:rsid w:val="7C004CA3"/>
    <w:rsid w:val="7C162E9B"/>
    <w:rsid w:val="7C2B2271"/>
    <w:rsid w:val="7C474CEF"/>
    <w:rsid w:val="7C6062DB"/>
    <w:rsid w:val="7C8725D3"/>
    <w:rsid w:val="7C922FAD"/>
    <w:rsid w:val="7CC16B8A"/>
    <w:rsid w:val="7CC31477"/>
    <w:rsid w:val="7CC61B5F"/>
    <w:rsid w:val="7CEF70BB"/>
    <w:rsid w:val="7D2D0267"/>
    <w:rsid w:val="7D5D0BF2"/>
    <w:rsid w:val="7E1B01CA"/>
    <w:rsid w:val="7E302F23"/>
    <w:rsid w:val="7EB92BB7"/>
    <w:rsid w:val="7F0002CD"/>
    <w:rsid w:val="7F055AAD"/>
    <w:rsid w:val="7F625C8C"/>
    <w:rsid w:val="7FFC19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79"/>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83"/>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annotation text"/>
    <w:basedOn w:val="1"/>
    <w:link w:val="75"/>
    <w:unhideWhenUsed/>
    <w:qFormat/>
    <w:uiPriority w:val="0"/>
    <w:pPr>
      <w:jc w:val="left"/>
    </w:pPr>
    <w:rPr>
      <w:rFonts w:ascii="Calibri" w:hAnsi="Calibri"/>
      <w:szCs w:val="22"/>
    </w:rPr>
  </w:style>
  <w:style w:type="paragraph" w:styleId="7">
    <w:name w:val="Body Text"/>
    <w:basedOn w:val="1"/>
    <w:link w:val="67"/>
    <w:qFormat/>
    <w:uiPriority w:val="1"/>
    <w:pPr>
      <w:spacing w:after="120"/>
    </w:pPr>
  </w:style>
  <w:style w:type="paragraph" w:styleId="8">
    <w:name w:val="Body Text Indent"/>
    <w:basedOn w:val="1"/>
    <w:qFormat/>
    <w:uiPriority w:val="0"/>
    <w:pPr>
      <w:spacing w:after="120"/>
      <w:ind w:left="420" w:leftChars="200"/>
    </w:pPr>
  </w:style>
  <w:style w:type="paragraph" w:styleId="9">
    <w:name w:val="List 2"/>
    <w:basedOn w:val="1"/>
    <w:qFormat/>
    <w:uiPriority w:val="0"/>
    <w:pPr>
      <w:ind w:left="100" w:leftChars="200" w:hanging="200" w:hangingChars="200"/>
    </w:pPr>
  </w:style>
  <w:style w:type="paragraph" w:styleId="10">
    <w:name w:val="Plain Text"/>
    <w:basedOn w:val="1"/>
    <w:link w:val="68"/>
    <w:qFormat/>
    <w:uiPriority w:val="0"/>
    <w:pPr>
      <w:widowControl/>
      <w:spacing w:before="100" w:beforeAutospacing="1" w:after="100" w:afterAutospacing="1"/>
      <w:jc w:val="left"/>
    </w:pPr>
    <w:rPr>
      <w:rFonts w:ascii="宋体" w:hAnsi="宋体"/>
      <w:kern w:val="0"/>
      <w:sz w:val="24"/>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leftChars="200"/>
    </w:pPr>
  </w:style>
  <w:style w:type="paragraph" w:styleId="13">
    <w:name w:val="Balloon Text"/>
    <w:basedOn w:val="1"/>
    <w:link w:val="71"/>
    <w:qFormat/>
    <w:uiPriority w:val="0"/>
    <w:rPr>
      <w:sz w:val="18"/>
      <w:szCs w:val="18"/>
    </w:rPr>
  </w:style>
  <w:style w:type="paragraph" w:styleId="14">
    <w:name w:val="footer"/>
    <w:basedOn w:val="1"/>
    <w:link w:val="78"/>
    <w:qFormat/>
    <w:uiPriority w:val="99"/>
    <w:pPr>
      <w:tabs>
        <w:tab w:val="center" w:pos="4153"/>
        <w:tab w:val="right" w:pos="8306"/>
      </w:tabs>
      <w:snapToGrid w:val="0"/>
      <w:jc w:val="left"/>
    </w:pPr>
    <w:rPr>
      <w:sz w:val="18"/>
      <w:szCs w:val="18"/>
    </w:rPr>
  </w:style>
  <w:style w:type="paragraph" w:styleId="15">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rPr>
      <w:rFonts w:ascii="仿宋_GB2312" w:eastAsia="仿宋_GB2312"/>
      <w:color w:val="000000"/>
      <w:szCs w:val="21"/>
    </w:rPr>
  </w:style>
  <w:style w:type="paragraph" w:styleId="17">
    <w:name w:val="Subtitle"/>
    <w:basedOn w:val="1"/>
    <w:next w:val="1"/>
    <w:link w:val="85"/>
    <w:qFormat/>
    <w:uiPriority w:val="0"/>
    <w:pPr>
      <w:spacing w:before="240" w:after="60" w:line="312" w:lineRule="auto"/>
      <w:jc w:val="center"/>
      <w:outlineLvl w:val="1"/>
    </w:pPr>
    <w:rPr>
      <w:rFonts w:ascii="等线 Light" w:hAnsi="等线 Light"/>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84"/>
    <w:qFormat/>
    <w:uiPriority w:val="99"/>
    <w:pPr>
      <w:widowControl/>
      <w:spacing w:before="100" w:beforeAutospacing="1" w:after="100" w:afterAutospacing="1"/>
      <w:jc w:val="left"/>
    </w:pPr>
    <w:rPr>
      <w:rFonts w:ascii="宋体" w:hAnsi="宋体" w:cs="宋体"/>
      <w:kern w:val="0"/>
      <w:sz w:val="24"/>
    </w:rPr>
  </w:style>
  <w:style w:type="paragraph" w:styleId="20">
    <w:name w:val="Title"/>
    <w:basedOn w:val="1"/>
    <w:next w:val="1"/>
    <w:link w:val="82"/>
    <w:qFormat/>
    <w:uiPriority w:val="0"/>
    <w:pPr>
      <w:spacing w:before="240" w:after="60"/>
      <w:jc w:val="center"/>
      <w:outlineLvl w:val="0"/>
    </w:pPr>
    <w:rPr>
      <w:rFonts w:ascii="Calibri Light" w:hAnsi="Calibri Light"/>
      <w:b/>
      <w:bCs/>
      <w:sz w:val="32"/>
      <w:szCs w:val="32"/>
    </w:rPr>
  </w:style>
  <w:style w:type="paragraph" w:styleId="21">
    <w:name w:val="annotation subject"/>
    <w:basedOn w:val="6"/>
    <w:next w:val="6"/>
    <w:link w:val="80"/>
    <w:qFormat/>
    <w:uiPriority w:val="0"/>
  </w:style>
  <w:style w:type="paragraph" w:styleId="22">
    <w:name w:val="Body Text First Indent"/>
    <w:basedOn w:val="7"/>
    <w:qFormat/>
    <w:uiPriority w:val="0"/>
    <w:pPr>
      <w:ind w:firstLine="420" w:firstLineChars="1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paragraph" w:customStyle="1" w:styleId="31">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3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3">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4">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
    <w:name w:val="Char"/>
    <w:basedOn w:val="1"/>
    <w:qFormat/>
    <w:uiPriority w:val="0"/>
    <w:rPr>
      <w:szCs w:val="20"/>
    </w:rPr>
  </w:style>
  <w:style w:type="paragraph" w:customStyle="1" w:styleId="36">
    <w:name w:val="p15"/>
    <w:basedOn w:val="1"/>
    <w:qFormat/>
    <w:uiPriority w:val="0"/>
    <w:pPr>
      <w:widowControl/>
    </w:pPr>
    <w:rPr>
      <w:rFonts w:ascii="Arial" w:hAnsi="Arial" w:cs="Arial"/>
      <w:color w:val="000000"/>
      <w:kern w:val="0"/>
      <w:sz w:val="32"/>
      <w:szCs w:val="32"/>
    </w:rPr>
  </w:style>
  <w:style w:type="paragraph" w:customStyle="1" w:styleId="37">
    <w:name w:val="_Style 38"/>
    <w:basedOn w:val="1"/>
    <w:qFormat/>
    <w:uiPriority w:val="0"/>
    <w:rPr>
      <w:szCs w:val="20"/>
    </w:rPr>
  </w:style>
  <w:style w:type="paragraph" w:customStyle="1" w:styleId="38">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39">
    <w:name w:val="Char Char Char Char1"/>
    <w:basedOn w:val="1"/>
    <w:qFormat/>
    <w:uiPriority w:val="0"/>
    <w:pPr>
      <w:ind w:firstLine="540" w:firstLineChars="225"/>
    </w:pPr>
    <w:rPr>
      <w:szCs w:val="20"/>
    </w:rPr>
  </w:style>
  <w:style w:type="paragraph" w:customStyle="1" w:styleId="40">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41">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2">
    <w:name w:val="Char Char3"/>
    <w:basedOn w:val="1"/>
    <w:qFormat/>
    <w:uiPriority w:val="0"/>
    <w:rPr>
      <w:szCs w:val="20"/>
    </w:rPr>
  </w:style>
  <w:style w:type="paragraph" w:customStyle="1" w:styleId="43">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4">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_Style 24"/>
    <w:basedOn w:val="1"/>
    <w:qFormat/>
    <w:uiPriority w:val="0"/>
    <w:rPr>
      <w:szCs w:val="20"/>
    </w:rPr>
  </w:style>
  <w:style w:type="paragraph" w:customStyle="1" w:styleId="46">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7">
    <w:name w:val="缩进"/>
    <w:basedOn w:val="1"/>
    <w:qFormat/>
    <w:uiPriority w:val="0"/>
    <w:pPr>
      <w:ind w:firstLine="200" w:firstLineChars="200"/>
    </w:pPr>
  </w:style>
  <w:style w:type="paragraph" w:customStyle="1" w:styleId="48">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9">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0">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51">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styleId="52">
    <w:name w:val="Quote"/>
    <w:basedOn w:val="1"/>
    <w:next w:val="1"/>
    <w:link w:val="66"/>
    <w:qFormat/>
    <w:uiPriority w:val="99"/>
    <w:rPr>
      <w:i/>
      <w:iCs/>
      <w:color w:val="000000"/>
    </w:rPr>
  </w:style>
  <w:style w:type="paragraph" w:customStyle="1" w:styleId="53">
    <w:name w:val="Char6 Char Char Char"/>
    <w:basedOn w:val="1"/>
    <w:qFormat/>
    <w:uiPriority w:val="0"/>
    <w:rPr>
      <w:rFonts w:ascii="Tahoma" w:hAnsi="Tahoma"/>
      <w:sz w:val="28"/>
      <w:szCs w:val="20"/>
    </w:rPr>
  </w:style>
  <w:style w:type="paragraph" w:styleId="54">
    <w:name w:val="List Paragraph"/>
    <w:basedOn w:val="1"/>
    <w:qFormat/>
    <w:uiPriority w:val="34"/>
    <w:pPr>
      <w:ind w:firstLine="420" w:firstLineChars="200"/>
    </w:pPr>
    <w:rPr>
      <w:rFonts w:ascii="Calibri" w:hAnsi="Calibri"/>
      <w:szCs w:val="22"/>
    </w:rPr>
  </w:style>
  <w:style w:type="paragraph" w:customStyle="1" w:styleId="55">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56">
    <w:name w:val="Char6 Char Char Char1"/>
    <w:basedOn w:val="1"/>
    <w:qFormat/>
    <w:uiPriority w:val="0"/>
    <w:rPr>
      <w:rFonts w:ascii="Tahoma" w:hAnsi="Tahoma"/>
      <w:sz w:val="28"/>
      <w:szCs w:val="20"/>
    </w:rPr>
  </w:style>
  <w:style w:type="character" w:customStyle="1" w:styleId="57">
    <w:name w:val="标题 1 Char"/>
    <w:link w:val="2"/>
    <w:qFormat/>
    <w:uiPriority w:val="1"/>
    <w:rPr>
      <w:rFonts w:eastAsia="仿宋"/>
      <w:b/>
      <w:bCs/>
      <w:kern w:val="44"/>
      <w:sz w:val="32"/>
      <w:szCs w:val="44"/>
    </w:rPr>
  </w:style>
  <w:style w:type="character" w:customStyle="1" w:styleId="58">
    <w:name w:val="明显强调1"/>
    <w:qFormat/>
    <w:uiPriority w:val="21"/>
    <w:rPr>
      <w:b/>
      <w:bCs/>
      <w:i/>
      <w:iCs/>
      <w:color w:val="5B9BD5"/>
    </w:rPr>
  </w:style>
  <w:style w:type="character" w:customStyle="1" w:styleId="59">
    <w:name w:val="批注文字 Char1"/>
    <w:qFormat/>
    <w:uiPriority w:val="99"/>
    <w:rPr>
      <w:rFonts w:ascii="宋体" w:hAnsi="宋体" w:cs="宋体"/>
      <w:sz w:val="22"/>
      <w:szCs w:val="22"/>
      <w:lang w:eastAsia="en-US"/>
    </w:rPr>
  </w:style>
  <w:style w:type="character" w:customStyle="1" w:styleId="60">
    <w:name w:val="页眉 字符"/>
    <w:qFormat/>
    <w:uiPriority w:val="0"/>
    <w:rPr>
      <w:sz w:val="18"/>
      <w:szCs w:val="18"/>
    </w:rPr>
  </w:style>
  <w:style w:type="character" w:customStyle="1" w:styleId="61">
    <w:name w:val="gongkai_content_2_title1"/>
    <w:qFormat/>
    <w:uiPriority w:val="0"/>
    <w:rPr>
      <w:rFonts w:hint="eastAsia" w:ascii="黑体" w:eastAsia="黑体"/>
      <w:b/>
      <w:bCs/>
      <w:sz w:val="28"/>
      <w:szCs w:val="28"/>
    </w:rPr>
  </w:style>
  <w:style w:type="character" w:customStyle="1" w:styleId="62">
    <w:name w:val="副标题 字符"/>
    <w:qFormat/>
    <w:uiPriority w:val="0"/>
    <w:rPr>
      <w:rFonts w:ascii="Calibri Light" w:hAnsi="Calibri Light" w:eastAsia="宋体" w:cs="Times New Roman"/>
      <w:b/>
      <w:bCs/>
      <w:kern w:val="28"/>
      <w:sz w:val="32"/>
      <w:szCs w:val="32"/>
    </w:rPr>
  </w:style>
  <w:style w:type="character" w:customStyle="1" w:styleId="63">
    <w:name w:val="副标题 Char"/>
    <w:qFormat/>
    <w:uiPriority w:val="0"/>
    <w:rPr>
      <w:rFonts w:ascii="Calibri Light" w:hAnsi="Calibri Light" w:cs="Times New Roman"/>
      <w:b/>
      <w:bCs/>
      <w:kern w:val="28"/>
      <w:sz w:val="32"/>
      <w:szCs w:val="32"/>
    </w:rPr>
  </w:style>
  <w:style w:type="character" w:customStyle="1" w:styleId="64">
    <w:name w:val="批注主题 字符"/>
    <w:qFormat/>
    <w:uiPriority w:val="0"/>
    <w:rPr>
      <w:rFonts w:ascii="Times New Roman" w:hAnsi="Times New Roman" w:eastAsia="宋体" w:cs="Times New Roman"/>
      <w:b/>
      <w:bCs/>
      <w:kern w:val="0"/>
      <w:sz w:val="20"/>
      <w:szCs w:val="20"/>
    </w:rPr>
  </w:style>
  <w:style w:type="character" w:customStyle="1" w:styleId="65">
    <w:name w:val="zisiblack2"/>
    <w:qFormat/>
    <w:uiPriority w:val="0"/>
    <w:rPr>
      <w:rFonts w:cs="Times New Roman"/>
    </w:rPr>
  </w:style>
  <w:style w:type="character" w:customStyle="1" w:styleId="66">
    <w:name w:val="引用 Char"/>
    <w:link w:val="52"/>
    <w:qFormat/>
    <w:uiPriority w:val="99"/>
    <w:rPr>
      <w:i/>
      <w:iCs/>
      <w:color w:val="000000"/>
      <w:kern w:val="2"/>
      <w:sz w:val="21"/>
      <w:szCs w:val="24"/>
    </w:rPr>
  </w:style>
  <w:style w:type="character" w:customStyle="1" w:styleId="67">
    <w:name w:val="正文文本 Char"/>
    <w:link w:val="7"/>
    <w:qFormat/>
    <w:uiPriority w:val="1"/>
    <w:rPr>
      <w:kern w:val="2"/>
      <w:sz w:val="21"/>
      <w:szCs w:val="24"/>
    </w:rPr>
  </w:style>
  <w:style w:type="character" w:customStyle="1" w:styleId="68">
    <w:name w:val="纯文本 Char"/>
    <w:link w:val="10"/>
    <w:qFormat/>
    <w:uiPriority w:val="0"/>
    <w:rPr>
      <w:rFonts w:ascii="宋体" w:hAnsi="宋体"/>
      <w:sz w:val="24"/>
      <w:szCs w:val="24"/>
    </w:rPr>
  </w:style>
  <w:style w:type="character" w:customStyle="1" w:styleId="69">
    <w:name w:val="apple-style-span"/>
    <w:basedOn w:val="25"/>
    <w:qFormat/>
    <w:uiPriority w:val="0"/>
  </w:style>
  <w:style w:type="character" w:customStyle="1" w:styleId="70">
    <w:name w:val="Internet 链接"/>
    <w:qFormat/>
    <w:uiPriority w:val="0"/>
    <w:rPr>
      <w:rFonts w:cs="Times New Roman"/>
      <w:color w:val="0000FF"/>
      <w:u w:val="single"/>
    </w:rPr>
  </w:style>
  <w:style w:type="character" w:customStyle="1" w:styleId="71">
    <w:name w:val="批注框文本 Char"/>
    <w:link w:val="13"/>
    <w:qFormat/>
    <w:uiPriority w:val="0"/>
    <w:rPr>
      <w:kern w:val="2"/>
      <w:sz w:val="18"/>
      <w:szCs w:val="18"/>
    </w:rPr>
  </w:style>
  <w:style w:type="character" w:customStyle="1" w:styleId="72">
    <w:name w:val="普通(网站) 字符"/>
    <w:qFormat/>
    <w:uiPriority w:val="99"/>
    <w:rPr>
      <w:rFonts w:ascii="宋体" w:hAnsi="宋体" w:cs="宋体"/>
      <w:sz w:val="24"/>
      <w:szCs w:val="24"/>
    </w:rPr>
  </w:style>
  <w:style w:type="character" w:customStyle="1" w:styleId="73">
    <w:name w:val="news021"/>
    <w:qFormat/>
    <w:uiPriority w:val="0"/>
    <w:rPr>
      <w:sz w:val="23"/>
      <w:szCs w:val="23"/>
    </w:rPr>
  </w:style>
  <w:style w:type="character" w:customStyle="1" w:styleId="74">
    <w:name w:val="text1"/>
    <w:qFormat/>
    <w:uiPriority w:val="0"/>
    <w:rPr>
      <w:color w:val="000000"/>
      <w:sz w:val="20"/>
      <w:szCs w:val="20"/>
    </w:rPr>
  </w:style>
  <w:style w:type="character" w:customStyle="1" w:styleId="75">
    <w:name w:val="批注文字 Char"/>
    <w:link w:val="6"/>
    <w:qFormat/>
    <w:uiPriority w:val="0"/>
    <w:rPr>
      <w:rFonts w:ascii="Calibri" w:hAnsi="Calibri"/>
      <w:kern w:val="2"/>
      <w:sz w:val="21"/>
      <w:szCs w:val="22"/>
    </w:rPr>
  </w:style>
  <w:style w:type="character" w:customStyle="1" w:styleId="76">
    <w:name w:val="页眉 Char"/>
    <w:link w:val="15"/>
    <w:qFormat/>
    <w:uiPriority w:val="0"/>
    <w:rPr>
      <w:kern w:val="2"/>
      <w:sz w:val="18"/>
      <w:szCs w:val="18"/>
    </w:rPr>
  </w:style>
  <w:style w:type="character" w:customStyle="1" w:styleId="77">
    <w:name w:val="批注文字 字符"/>
    <w:qFormat/>
    <w:uiPriority w:val="0"/>
  </w:style>
  <w:style w:type="character" w:customStyle="1" w:styleId="78">
    <w:name w:val="页脚 Char"/>
    <w:link w:val="14"/>
    <w:qFormat/>
    <w:uiPriority w:val="99"/>
    <w:rPr>
      <w:kern w:val="2"/>
      <w:sz w:val="18"/>
      <w:szCs w:val="18"/>
    </w:rPr>
  </w:style>
  <w:style w:type="character" w:customStyle="1" w:styleId="79">
    <w:name w:val="标题 2 Char"/>
    <w:link w:val="3"/>
    <w:qFormat/>
    <w:uiPriority w:val="1"/>
    <w:rPr>
      <w:rFonts w:ascii="Calibri Light" w:hAnsi="Calibri Light"/>
      <w:b/>
      <w:bCs/>
      <w:kern w:val="2"/>
      <w:sz w:val="32"/>
      <w:szCs w:val="32"/>
    </w:rPr>
  </w:style>
  <w:style w:type="character" w:customStyle="1" w:styleId="80">
    <w:name w:val="批注主题 Char"/>
    <w:link w:val="21"/>
    <w:qFormat/>
    <w:uiPriority w:val="0"/>
    <w:rPr>
      <w:rFonts w:ascii="Calibri" w:hAnsi="Calibri"/>
      <w:kern w:val="2"/>
      <w:sz w:val="21"/>
      <w:szCs w:val="22"/>
    </w:rPr>
  </w:style>
  <w:style w:type="character" w:customStyle="1" w:styleId="81">
    <w:name w:val="font41"/>
    <w:qFormat/>
    <w:uiPriority w:val="0"/>
    <w:rPr>
      <w:rFonts w:hint="eastAsia" w:ascii="宋体" w:hAnsi="宋体" w:eastAsia="宋体" w:cs="宋体"/>
      <w:color w:val="000000"/>
      <w:sz w:val="18"/>
      <w:szCs w:val="18"/>
      <w:u w:val="none"/>
    </w:rPr>
  </w:style>
  <w:style w:type="character" w:customStyle="1" w:styleId="82">
    <w:name w:val="标题 Char"/>
    <w:link w:val="20"/>
    <w:qFormat/>
    <w:uiPriority w:val="0"/>
    <w:rPr>
      <w:rFonts w:ascii="Calibri Light" w:hAnsi="Calibri Light"/>
      <w:b/>
      <w:bCs/>
      <w:kern w:val="2"/>
      <w:sz w:val="32"/>
      <w:szCs w:val="32"/>
    </w:rPr>
  </w:style>
  <w:style w:type="character" w:customStyle="1" w:styleId="83">
    <w:name w:val="标题 3 Char"/>
    <w:link w:val="4"/>
    <w:semiHidden/>
    <w:qFormat/>
    <w:uiPriority w:val="0"/>
    <w:rPr>
      <w:b/>
      <w:bCs/>
      <w:kern w:val="2"/>
      <w:sz w:val="32"/>
      <w:szCs w:val="32"/>
    </w:rPr>
  </w:style>
  <w:style w:type="character" w:customStyle="1" w:styleId="84">
    <w:name w:val="普通(网站) Char"/>
    <w:link w:val="19"/>
    <w:qFormat/>
    <w:uiPriority w:val="0"/>
    <w:rPr>
      <w:rFonts w:ascii="宋体" w:hAnsi="宋体" w:eastAsia="宋体" w:cs="宋体"/>
      <w:sz w:val="24"/>
      <w:szCs w:val="24"/>
      <w:lang w:val="en-US" w:eastAsia="zh-CN" w:bidi="ar-SA"/>
    </w:rPr>
  </w:style>
  <w:style w:type="character" w:customStyle="1" w:styleId="85">
    <w:name w:val="副标题 Char1"/>
    <w:link w:val="17"/>
    <w:qFormat/>
    <w:uiPriority w:val="0"/>
    <w:rPr>
      <w:rFonts w:ascii="等线 Light" w:hAnsi="等线 Light"/>
      <w:b/>
      <w:bCs/>
      <w:kern w:val="28"/>
      <w:sz w:val="32"/>
      <w:szCs w:val="32"/>
    </w:rPr>
  </w:style>
  <w:style w:type="character" w:customStyle="1" w:styleId="86">
    <w:name w:val="apple-converted-space"/>
    <w:qFormat/>
    <w:uiPriority w:val="0"/>
  </w:style>
  <w:style w:type="character" w:customStyle="1" w:styleId="87">
    <w:name w:val="不明显强调1"/>
    <w:qFormat/>
    <w:uiPriority w:val="19"/>
    <w:rPr>
      <w:i/>
      <w:iCs/>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15</Pages>
  <Words>1820</Words>
  <Characters>10377</Characters>
  <Lines>86</Lines>
  <Paragraphs>24</Paragraphs>
  <TotalTime>27</TotalTime>
  <ScaleCrop>false</ScaleCrop>
  <LinksUpToDate>false</LinksUpToDate>
  <CharactersWithSpaces>12173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2020-07-08T12:32:00Z</dcterms:created>
  <dc:creator>HanShuang</dc:creator>
  <cp:lastModifiedBy>oasis</cp:lastModifiedBy>
  <cp:lastPrinted>2020-01-13T01:05:00Z</cp:lastPrinted>
  <dcterms:modified xsi:type="dcterms:W3CDTF">2021-02-17T10:26:05Z</dcterms:modified>
  <dc:title>莱阳农学院2006年预算编制说明</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