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wordWrap w:val="0"/>
        <w:adjustRightInd w:val="0"/>
        <w:snapToGrid w:val="0"/>
        <w:spacing w:after="375" w:line="560" w:lineRule="exact"/>
        <w:jc w:val="center"/>
        <w:outlineLvl w:val="2"/>
        <w:rPr>
          <w:rFonts w:ascii="方正小标宋简体" w:hAnsi="微软雅黑" w:eastAsia="方正小标宋简体" w:cs="宋体"/>
          <w:b/>
          <w:bCs/>
          <w:color w:val="353535"/>
          <w:kern w:val="0"/>
          <w:sz w:val="44"/>
          <w:szCs w:val="44"/>
        </w:rPr>
      </w:pPr>
      <w:r>
        <w:rPr>
          <w:rFonts w:hint="eastAsia" w:ascii="方正小标宋简体" w:hAnsi="微软雅黑" w:eastAsia="方正小标宋简体" w:cs="宋体"/>
          <w:b/>
          <w:bCs/>
          <w:color w:val="353535"/>
          <w:kern w:val="0"/>
          <w:sz w:val="44"/>
          <w:szCs w:val="44"/>
        </w:rPr>
        <w:t>关于遴选《大学生职业生涯规划》《大学生就业指导》课程授课教师的通知</w:t>
      </w:r>
      <w:r>
        <w:rPr>
          <w:rFonts w:hint="eastAsia" w:ascii="方正小标宋简体" w:hAnsi="微软雅黑" w:eastAsia="方正小标宋简体" w:cs="Calibri"/>
          <w:color w:val="333333"/>
          <w:kern w:val="0"/>
          <w:sz w:val="44"/>
          <w:szCs w:val="44"/>
        </w:rPr>
        <w:t> </w:t>
      </w:r>
    </w:p>
    <w:p>
      <w:pPr>
        <w:widowControl/>
        <w:shd w:val="clear" w:color="auto" w:fill="FFFFFF"/>
        <w:wordWrap w:val="0"/>
        <w:spacing w:line="399" w:lineRule="atLeast"/>
        <w:jc w:val="left"/>
        <w:rPr>
          <w:rFonts w:ascii="仿宋_GB2312" w:eastAsia="仿宋_GB2312"/>
          <w:sz w:val="32"/>
          <w:szCs w:val="32"/>
        </w:rPr>
      </w:pPr>
      <w:r>
        <w:rPr>
          <w:rFonts w:hint="eastAsia" w:ascii="仿宋_GB2312" w:eastAsia="仿宋_GB2312"/>
          <w:sz w:val="32"/>
          <w:szCs w:val="32"/>
        </w:rPr>
        <w:t>各学院：</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eastAsia="仿宋_GB2312"/>
          <w:sz w:val="32"/>
          <w:szCs w:val="32"/>
        </w:rPr>
        <w:t>根据《大学生职业发展与就业指导课程教学要求》（教高厅〔2007〕7号）,结合全国普通高校毕业生就业创业工作会议精神及我校当前职业生涯规划、就业指导等工作实际，全面推进我校专业教育与职业生涯规划、就业指导的深度融合，构建以“生涯发展启蒙、专业认知进阶、实践能力拓展、职业能力提升”为依托的学生就业发展服务体系，现面向全校专业课教师招募《大学生职业生涯规划》《大学生就业指导》授课教师，具体要求及安排如下：</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一、课程基本情况</w:t>
      </w:r>
    </w:p>
    <w:p>
      <w:pPr>
        <w:widowControl/>
        <w:shd w:val="clear" w:color="auto" w:fill="FFFFFF"/>
        <w:wordWrap w:val="0"/>
        <w:spacing w:line="399" w:lineRule="atLeast"/>
        <w:ind w:firstLine="643" w:firstLineChars="200"/>
        <w:jc w:val="left"/>
        <w:rPr>
          <w:rFonts w:ascii="楷体_GB2312" w:hAnsi="微软雅黑" w:eastAsia="楷体_GB2312" w:cs="Calibri"/>
          <w:b/>
          <w:color w:val="333333"/>
          <w:kern w:val="0"/>
          <w:sz w:val="32"/>
          <w:szCs w:val="32"/>
        </w:rPr>
      </w:pPr>
      <w:r>
        <w:rPr>
          <w:rFonts w:hint="eastAsia" w:ascii="楷体_GB2312" w:eastAsia="楷体_GB2312"/>
          <w:b/>
          <w:sz w:val="32"/>
          <w:szCs w:val="32"/>
        </w:rPr>
        <w:t>1</w:t>
      </w:r>
      <w:r>
        <w:rPr>
          <w:rFonts w:ascii="楷体_GB2312" w:eastAsia="楷体_GB2312"/>
          <w:b/>
          <w:sz w:val="32"/>
          <w:szCs w:val="32"/>
        </w:rPr>
        <w:t>.</w:t>
      </w:r>
      <w:r>
        <w:rPr>
          <w:rFonts w:hint="eastAsia" w:ascii="楷体_GB2312" w:eastAsia="楷体_GB2312"/>
          <w:b/>
          <w:sz w:val="32"/>
          <w:szCs w:val="32"/>
        </w:rPr>
        <w:t>《大学生职业生涯规划》</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课程性质：通识必修课（理论课程）</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开设对象：大一学生</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学分</w:t>
      </w:r>
      <w:r>
        <w:rPr>
          <w:rFonts w:hint="eastAsia" w:ascii="微软雅黑" w:hAnsi="微软雅黑" w:eastAsia="微软雅黑" w:cs="Calibri"/>
          <w:color w:val="333333"/>
          <w:kern w:val="0"/>
          <w:sz w:val="32"/>
          <w:szCs w:val="32"/>
        </w:rPr>
        <w:t>/</w:t>
      </w:r>
      <w:r>
        <w:rPr>
          <w:rFonts w:hint="eastAsia" w:ascii="仿宋_GB2312" w:hAnsi="Calibri" w:eastAsia="仿宋_GB2312" w:cs="Calibri"/>
          <w:color w:val="333333"/>
          <w:kern w:val="0"/>
          <w:sz w:val="32"/>
          <w:szCs w:val="32"/>
        </w:rPr>
        <w:t>学时：1学分/</w:t>
      </w:r>
      <w:r>
        <w:rPr>
          <w:rFonts w:ascii="仿宋_GB2312" w:hAnsi="Calibri" w:eastAsia="仿宋_GB2312" w:cs="Calibri"/>
          <w:color w:val="333333"/>
          <w:kern w:val="0"/>
          <w:sz w:val="32"/>
          <w:szCs w:val="32"/>
        </w:rPr>
        <w:t>16</w:t>
      </w:r>
      <w:r>
        <w:rPr>
          <w:rFonts w:hint="eastAsia" w:ascii="仿宋_GB2312" w:hAnsi="Calibri" w:eastAsia="仿宋_GB2312" w:cs="Calibri"/>
          <w:color w:val="333333"/>
          <w:kern w:val="0"/>
          <w:sz w:val="32"/>
          <w:szCs w:val="32"/>
        </w:rPr>
        <w:t>学时</w:t>
      </w:r>
    </w:p>
    <w:p>
      <w:pPr>
        <w:widowControl/>
        <w:shd w:val="clear" w:color="auto" w:fill="FFFFFF"/>
        <w:wordWrap w:val="0"/>
        <w:spacing w:line="399" w:lineRule="atLeast"/>
        <w:ind w:firstLine="643" w:firstLineChars="200"/>
        <w:jc w:val="left"/>
        <w:rPr>
          <w:rFonts w:ascii="楷体_GB2312" w:eastAsia="楷体_GB2312"/>
          <w:b/>
          <w:sz w:val="32"/>
          <w:szCs w:val="32"/>
        </w:rPr>
      </w:pPr>
      <w:r>
        <w:rPr>
          <w:rFonts w:hint="eastAsia" w:ascii="楷体_GB2312" w:eastAsia="楷体_GB2312"/>
          <w:b/>
          <w:sz w:val="32"/>
          <w:szCs w:val="32"/>
        </w:rPr>
        <w:t>2</w:t>
      </w:r>
      <w:r>
        <w:rPr>
          <w:rFonts w:ascii="楷体_GB2312" w:eastAsia="楷体_GB2312"/>
          <w:b/>
          <w:sz w:val="32"/>
          <w:szCs w:val="32"/>
        </w:rPr>
        <w:t>.</w:t>
      </w:r>
      <w:r>
        <w:rPr>
          <w:rFonts w:hint="eastAsia" w:ascii="楷体_GB2312" w:eastAsia="楷体_GB2312"/>
          <w:b/>
          <w:sz w:val="32"/>
          <w:szCs w:val="32"/>
        </w:rPr>
        <w:t>《大学生就业指导》</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课程性质：通识必修课（实践课程）</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开设对象：大</w:t>
      </w:r>
      <w:r>
        <w:rPr>
          <w:rFonts w:hint="eastAsia" w:ascii="仿宋_GB2312" w:hAnsi="Calibri" w:eastAsia="仿宋_GB2312" w:cs="Calibri"/>
          <w:color w:val="333333"/>
          <w:kern w:val="0"/>
          <w:sz w:val="32"/>
          <w:szCs w:val="32"/>
          <w:lang w:val="en-US" w:eastAsia="zh-CN"/>
        </w:rPr>
        <w:t>三、大四</w:t>
      </w:r>
      <w:bookmarkStart w:id="0" w:name="_GoBack"/>
      <w:bookmarkEnd w:id="0"/>
      <w:r>
        <w:rPr>
          <w:rFonts w:hint="eastAsia" w:ascii="仿宋_GB2312" w:hAnsi="Calibri" w:eastAsia="仿宋_GB2312" w:cs="Calibri"/>
          <w:color w:val="333333"/>
          <w:kern w:val="0"/>
          <w:sz w:val="32"/>
          <w:szCs w:val="32"/>
        </w:rPr>
        <w:t>学生</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学分</w:t>
      </w:r>
      <w:r>
        <w:rPr>
          <w:rFonts w:hint="eastAsia" w:ascii="微软雅黑" w:hAnsi="微软雅黑" w:eastAsia="微软雅黑" w:cs="Calibri"/>
          <w:color w:val="333333"/>
          <w:kern w:val="0"/>
          <w:sz w:val="32"/>
          <w:szCs w:val="32"/>
        </w:rPr>
        <w:t>/</w:t>
      </w:r>
      <w:r>
        <w:rPr>
          <w:rFonts w:hint="eastAsia" w:ascii="仿宋_GB2312" w:hAnsi="Calibri" w:eastAsia="仿宋_GB2312" w:cs="Calibri"/>
          <w:color w:val="333333"/>
          <w:kern w:val="0"/>
          <w:sz w:val="32"/>
          <w:szCs w:val="32"/>
        </w:rPr>
        <w:t>学时：1学分/</w:t>
      </w:r>
      <w:r>
        <w:rPr>
          <w:rFonts w:ascii="仿宋_GB2312" w:hAnsi="Calibri" w:eastAsia="仿宋_GB2312" w:cs="Calibri"/>
          <w:color w:val="333333"/>
          <w:kern w:val="0"/>
          <w:sz w:val="32"/>
          <w:szCs w:val="32"/>
        </w:rPr>
        <w:t>15</w:t>
      </w:r>
      <w:r>
        <w:rPr>
          <w:rFonts w:hint="eastAsia" w:ascii="仿宋_GB2312" w:hAnsi="Calibri" w:eastAsia="仿宋_GB2312" w:cs="Calibri"/>
          <w:color w:val="333333"/>
          <w:kern w:val="0"/>
          <w:sz w:val="32"/>
          <w:szCs w:val="32"/>
        </w:rPr>
        <w:t>学时</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二、选聘范围</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各学院专业课教师</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三、选聘条件</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1．政治立场坚定，拥护党的教育方针、政策；爱岗敬业，恪守职业道德，具有高校教师资格证书；</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ascii="仿宋_GB2312" w:hAnsi="Calibri" w:eastAsia="仿宋_GB2312" w:cs="Calibri"/>
          <w:color w:val="333333"/>
          <w:kern w:val="0"/>
          <w:sz w:val="32"/>
          <w:szCs w:val="32"/>
        </w:rPr>
        <w:t>2</w:t>
      </w:r>
      <w:r>
        <w:rPr>
          <w:rFonts w:hint="eastAsia" w:ascii="仿宋_GB2312" w:hAnsi="Calibri" w:eastAsia="仿宋_GB2312" w:cs="Calibri"/>
          <w:color w:val="333333"/>
          <w:kern w:val="0"/>
          <w:sz w:val="32"/>
          <w:szCs w:val="32"/>
        </w:rPr>
        <w:t>．</w:t>
      </w:r>
      <w:r>
        <w:rPr>
          <w:rFonts w:hint="eastAsia" w:ascii="仿宋_GB2312" w:eastAsia="仿宋_GB2312"/>
          <w:sz w:val="32"/>
          <w:szCs w:val="32"/>
        </w:rPr>
        <w:t>热爱</w:t>
      </w:r>
      <w:r>
        <w:rPr>
          <w:rFonts w:hint="eastAsia" w:ascii="仿宋_GB2312" w:hAnsi="Calibri" w:eastAsia="仿宋_GB2312" w:cs="Calibri"/>
          <w:color w:val="333333"/>
          <w:kern w:val="0"/>
          <w:sz w:val="32"/>
          <w:szCs w:val="32"/>
        </w:rPr>
        <w:t>大学生职业生涯规划与就业指导</w:t>
      </w:r>
      <w:r>
        <w:rPr>
          <w:rFonts w:hint="eastAsia" w:ascii="仿宋_GB2312" w:eastAsia="仿宋_GB2312"/>
          <w:sz w:val="32"/>
          <w:szCs w:val="32"/>
        </w:rPr>
        <w:t>工作，了解大学生职业发展特点，</w:t>
      </w:r>
      <w:r>
        <w:rPr>
          <w:rFonts w:hint="eastAsia" w:ascii="仿宋_GB2312" w:hAnsi="Calibri" w:eastAsia="仿宋_GB2312" w:cs="Calibri"/>
          <w:color w:val="333333"/>
          <w:kern w:val="0"/>
          <w:sz w:val="32"/>
          <w:szCs w:val="32"/>
        </w:rPr>
        <w:t>对大学生职业生涯规划与就业指导教育理解到位，具有较好的教学技能和教学素养</w:t>
      </w:r>
      <w:r>
        <w:rPr>
          <w:rFonts w:hint="eastAsia" w:ascii="仿宋_GB2312" w:eastAsia="仿宋_GB2312"/>
          <w:sz w:val="32"/>
          <w:szCs w:val="32"/>
        </w:rPr>
        <w:t>；</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ascii="仿宋_GB2312" w:hAnsi="Calibri" w:eastAsia="仿宋_GB2312" w:cs="Calibri"/>
          <w:color w:val="333333"/>
          <w:kern w:val="0"/>
          <w:sz w:val="32"/>
          <w:szCs w:val="32"/>
        </w:rPr>
        <w:t>3</w:t>
      </w:r>
      <w:r>
        <w:rPr>
          <w:rFonts w:hint="eastAsia" w:ascii="仿宋_GB2312" w:hAnsi="Calibri" w:eastAsia="仿宋_GB2312" w:cs="Calibri"/>
          <w:color w:val="333333"/>
          <w:kern w:val="0"/>
          <w:sz w:val="32"/>
          <w:szCs w:val="32"/>
        </w:rPr>
        <w:t>．熟悉并能结合学科、专业及所属行业发展趋势、用人需求情况等开展职业生涯规划及就业指导教育；</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四、选聘程序</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1．采取学院推荐、学生工作处审核、择优聘用的原则。</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2．应聘教师请于</w:t>
      </w:r>
      <w:r>
        <w:rPr>
          <w:rFonts w:hint="eastAsia" w:ascii="微软雅黑" w:hAnsi="微软雅黑" w:eastAsia="微软雅黑" w:cs="Calibri"/>
          <w:color w:val="333333"/>
          <w:kern w:val="0"/>
          <w:sz w:val="32"/>
          <w:szCs w:val="32"/>
        </w:rPr>
        <w:t>2022</w:t>
      </w:r>
      <w:r>
        <w:rPr>
          <w:rFonts w:hint="eastAsia" w:ascii="仿宋_GB2312" w:hAnsi="Calibri" w:eastAsia="仿宋_GB2312" w:cs="Calibri"/>
          <w:color w:val="333333"/>
          <w:kern w:val="0"/>
          <w:sz w:val="32"/>
          <w:szCs w:val="32"/>
        </w:rPr>
        <w:t>年</w:t>
      </w:r>
      <w:r>
        <w:rPr>
          <w:rFonts w:ascii="微软雅黑" w:hAnsi="微软雅黑" w:eastAsia="微软雅黑" w:cs="Calibri"/>
          <w:color w:val="333333"/>
          <w:kern w:val="0"/>
          <w:sz w:val="32"/>
          <w:szCs w:val="32"/>
        </w:rPr>
        <w:t>6</w:t>
      </w:r>
      <w:r>
        <w:rPr>
          <w:rFonts w:hint="eastAsia" w:ascii="仿宋_GB2312" w:hAnsi="Calibri" w:eastAsia="仿宋_GB2312" w:cs="Calibri"/>
          <w:color w:val="333333"/>
          <w:kern w:val="0"/>
          <w:sz w:val="32"/>
          <w:szCs w:val="32"/>
        </w:rPr>
        <w:t>月</w:t>
      </w:r>
      <w:r>
        <w:rPr>
          <w:rFonts w:ascii="微软雅黑" w:hAnsi="微软雅黑" w:eastAsia="微软雅黑" w:cs="Calibri"/>
          <w:color w:val="333333"/>
          <w:kern w:val="0"/>
          <w:sz w:val="32"/>
          <w:szCs w:val="32"/>
        </w:rPr>
        <w:t>2</w:t>
      </w:r>
      <w:r>
        <w:rPr>
          <w:rFonts w:hint="eastAsia" w:ascii="仿宋_GB2312" w:hAnsi="Calibri" w:eastAsia="仿宋_GB2312" w:cs="Calibri"/>
          <w:color w:val="333333"/>
          <w:kern w:val="0"/>
          <w:sz w:val="32"/>
          <w:szCs w:val="32"/>
        </w:rPr>
        <w:t>日前下载并填写《青岛农业大学</w:t>
      </w:r>
      <w:r>
        <w:rPr>
          <w:rFonts w:hint="eastAsia" w:ascii="仿宋_GB2312" w:eastAsia="仿宋_GB2312"/>
          <w:sz w:val="32"/>
          <w:szCs w:val="32"/>
        </w:rPr>
        <w:t>&lt;大学生职业生涯规划</w:t>
      </w:r>
      <w:r>
        <w:rPr>
          <w:rFonts w:ascii="仿宋_GB2312" w:eastAsia="仿宋_GB2312"/>
          <w:sz w:val="32"/>
          <w:szCs w:val="32"/>
        </w:rPr>
        <w:t>&gt;</w:t>
      </w:r>
      <w:r>
        <w:rPr>
          <w:rFonts w:hint="eastAsia" w:ascii="仿宋_GB2312" w:eastAsia="仿宋_GB2312"/>
          <w:sz w:val="32"/>
          <w:szCs w:val="32"/>
        </w:rPr>
        <w:t>&lt;大学生就业指导</w:t>
      </w:r>
      <w:r>
        <w:rPr>
          <w:rFonts w:ascii="仿宋_GB2312" w:eastAsia="仿宋_GB2312"/>
          <w:sz w:val="32"/>
          <w:szCs w:val="32"/>
        </w:rPr>
        <w:t>&gt;</w:t>
      </w:r>
      <w:r>
        <w:rPr>
          <w:rFonts w:hint="eastAsia" w:ascii="仿宋_GB2312" w:hAnsi="Calibri" w:eastAsia="仿宋_GB2312" w:cs="Calibri"/>
          <w:color w:val="333333"/>
          <w:kern w:val="0"/>
          <w:sz w:val="32"/>
          <w:szCs w:val="32"/>
        </w:rPr>
        <w:t>课程授课教师申请登记表》（附件</w:t>
      </w:r>
      <w:r>
        <w:rPr>
          <w:rFonts w:ascii="微软雅黑" w:hAnsi="微软雅黑" w:eastAsia="微软雅黑" w:cs="Calibri"/>
          <w:color w:val="333333"/>
          <w:kern w:val="0"/>
          <w:sz w:val="32"/>
          <w:szCs w:val="32"/>
        </w:rPr>
        <w:t>1</w:t>
      </w:r>
      <w:r>
        <w:rPr>
          <w:rFonts w:hint="eastAsia" w:ascii="仿宋_GB2312" w:hAnsi="Calibri" w:eastAsia="仿宋_GB2312" w:cs="Calibri"/>
          <w:color w:val="333333"/>
          <w:kern w:val="0"/>
          <w:sz w:val="32"/>
          <w:szCs w:val="32"/>
        </w:rPr>
        <w:t>），交所在学院。（注：可同时申请两门课程）</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3．学院进行审核推荐，并填写《青岛农业大学&lt;</w:t>
      </w:r>
      <w:r>
        <w:rPr>
          <w:rFonts w:hint="eastAsia" w:ascii="仿宋_GB2312" w:eastAsia="仿宋_GB2312"/>
          <w:sz w:val="32"/>
          <w:szCs w:val="32"/>
        </w:rPr>
        <w:t>大学生职业生涯规划</w:t>
      </w:r>
      <w:r>
        <w:rPr>
          <w:rFonts w:ascii="仿宋_GB2312" w:eastAsia="仿宋_GB2312"/>
          <w:sz w:val="32"/>
          <w:szCs w:val="32"/>
        </w:rPr>
        <w:t>&gt;</w:t>
      </w:r>
      <w:r>
        <w:rPr>
          <w:rFonts w:hint="eastAsia" w:ascii="仿宋_GB2312" w:eastAsia="仿宋_GB2312"/>
          <w:sz w:val="32"/>
          <w:szCs w:val="32"/>
        </w:rPr>
        <w:t>&lt;大学生就业指导</w:t>
      </w:r>
      <w:r>
        <w:rPr>
          <w:rFonts w:ascii="仿宋_GB2312" w:eastAsia="仿宋_GB2312"/>
          <w:sz w:val="32"/>
          <w:szCs w:val="32"/>
        </w:rPr>
        <w:t>&gt;</w:t>
      </w:r>
      <w:r>
        <w:rPr>
          <w:rFonts w:hint="eastAsia" w:ascii="仿宋_GB2312" w:hAnsi="Calibri" w:eastAsia="仿宋_GB2312" w:cs="Calibri"/>
          <w:color w:val="333333"/>
          <w:kern w:val="0"/>
          <w:sz w:val="32"/>
          <w:szCs w:val="32"/>
        </w:rPr>
        <w:t>课程授课教师申请汇总表》（附件</w:t>
      </w:r>
      <w:r>
        <w:rPr>
          <w:rFonts w:ascii="微软雅黑" w:hAnsi="微软雅黑" w:eastAsia="微软雅黑" w:cs="Calibri"/>
          <w:color w:val="333333"/>
          <w:kern w:val="0"/>
          <w:sz w:val="32"/>
          <w:szCs w:val="32"/>
        </w:rPr>
        <w:t>2</w:t>
      </w:r>
      <w:r>
        <w:rPr>
          <w:rFonts w:hint="eastAsia" w:ascii="仿宋_GB2312" w:hAnsi="Calibri" w:eastAsia="仿宋_GB2312" w:cs="Calibri"/>
          <w:color w:val="333333"/>
          <w:kern w:val="0"/>
          <w:sz w:val="32"/>
          <w:szCs w:val="32"/>
        </w:rPr>
        <w:t>），以学院为单位将申请登记表、申请汇总表电子版发送至</w:t>
      </w:r>
      <w:r>
        <w:rPr>
          <w:rFonts w:ascii="微软雅黑" w:hAnsi="微软雅黑" w:eastAsia="微软雅黑" w:cs="Calibri"/>
          <w:color w:val="333333"/>
          <w:kern w:val="0"/>
          <w:sz w:val="32"/>
          <w:szCs w:val="32"/>
        </w:rPr>
        <w:t>jy</w:t>
      </w:r>
      <w:r>
        <w:rPr>
          <w:rFonts w:hint="eastAsia" w:ascii="微软雅黑" w:hAnsi="微软雅黑" w:eastAsia="微软雅黑" w:cs="Calibri"/>
          <w:color w:val="333333"/>
          <w:kern w:val="0"/>
          <w:sz w:val="32"/>
          <w:szCs w:val="32"/>
        </w:rPr>
        <w:t>@</w:t>
      </w:r>
      <w:r>
        <w:rPr>
          <w:rFonts w:ascii="微软雅黑" w:hAnsi="微软雅黑" w:eastAsia="微软雅黑" w:cs="Calibri"/>
          <w:color w:val="333333"/>
          <w:kern w:val="0"/>
          <w:sz w:val="32"/>
          <w:szCs w:val="32"/>
        </w:rPr>
        <w:t>qau.edu.cn</w:t>
      </w:r>
      <w:r>
        <w:rPr>
          <w:rFonts w:hint="eastAsia" w:ascii="仿宋_GB2312" w:hAnsi="Calibri" w:eastAsia="仿宋_GB2312" w:cs="Calibri"/>
          <w:color w:val="333333"/>
          <w:kern w:val="0"/>
          <w:sz w:val="32"/>
          <w:szCs w:val="32"/>
        </w:rPr>
        <w:t>，并将申请登记表、申请汇总表纸质版一份送至学生就业指导服务中心（知行楼</w:t>
      </w:r>
      <w:r>
        <w:rPr>
          <w:rFonts w:ascii="微软雅黑" w:hAnsi="微软雅黑" w:eastAsia="微软雅黑" w:cs="Calibri"/>
          <w:color w:val="333333"/>
          <w:kern w:val="0"/>
          <w:sz w:val="32"/>
          <w:szCs w:val="32"/>
        </w:rPr>
        <w:t>316</w:t>
      </w:r>
      <w:r>
        <w:rPr>
          <w:rFonts w:hint="eastAsia" w:ascii="仿宋_GB2312" w:hAnsi="Calibri" w:eastAsia="仿宋_GB2312" w:cs="Calibri"/>
          <w:color w:val="333333"/>
          <w:kern w:val="0"/>
          <w:sz w:val="32"/>
          <w:szCs w:val="32"/>
        </w:rPr>
        <w:t>）。</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五、管理及待遇</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1．选聘的授课教师由</w:t>
      </w:r>
      <w:r>
        <w:rPr>
          <w:rFonts w:hint="eastAsia" w:ascii="仿宋_GB2312" w:eastAsia="仿宋_GB2312"/>
          <w:sz w:val="32"/>
          <w:szCs w:val="32"/>
        </w:rPr>
        <w:t>《大学生职业生涯规划》</w:t>
      </w:r>
      <w:r>
        <w:rPr>
          <w:rFonts w:hint="eastAsia" w:ascii="仿宋_GB2312" w:hAnsi="Calibri" w:eastAsia="仿宋_GB2312" w:cs="Calibri"/>
          <w:color w:val="333333"/>
          <w:kern w:val="0"/>
          <w:sz w:val="32"/>
          <w:szCs w:val="32"/>
        </w:rPr>
        <w:t>《大学生就业指导》教研室负责管理。</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2．凡受聘为两门课程任课教师的，授课前须参加由学生工作处组织的课程培训、教学研讨等活动。教师原则上承担本学院学生课程授课任务。</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3．依据教师的实际工作量统一进行工作报酬核算，发放教学业绩绩效。</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 </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 xml:space="preserve">联系人：任磊 </w:t>
      </w:r>
      <w:r>
        <w:rPr>
          <w:rFonts w:hint="eastAsia" w:ascii="仿宋_GB2312" w:hAnsi="微软雅黑" w:eastAsia="仿宋_GB2312" w:cs="Calibri"/>
          <w:color w:val="333333"/>
          <w:kern w:val="0"/>
          <w:sz w:val="32"/>
          <w:szCs w:val="32"/>
        </w:rPr>
        <w:t> </w:t>
      </w:r>
      <w:r>
        <w:rPr>
          <w:rFonts w:hint="eastAsia" w:ascii="仿宋_GB2312" w:hAnsi="Calibri" w:eastAsia="仿宋_GB2312" w:cs="Calibri"/>
          <w:color w:val="333333"/>
          <w:kern w:val="0"/>
          <w:sz w:val="32"/>
          <w:szCs w:val="32"/>
        </w:rPr>
        <w:t>联系电话：</w:t>
      </w:r>
      <w:r>
        <w:rPr>
          <w:rFonts w:hint="eastAsia" w:ascii="仿宋_GB2312" w:hAnsi="微软雅黑" w:eastAsia="仿宋_GB2312" w:cs="Calibri"/>
          <w:color w:val="333333"/>
          <w:kern w:val="0"/>
          <w:sz w:val="32"/>
          <w:szCs w:val="32"/>
        </w:rPr>
        <w:t>58957055</w:t>
      </w:r>
    </w:p>
    <w:p>
      <w:pPr>
        <w:widowControl/>
        <w:shd w:val="clear" w:color="auto" w:fill="FFFFFF"/>
        <w:wordWrap w:val="0"/>
        <w:spacing w:line="399" w:lineRule="atLeast"/>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 </w:t>
      </w:r>
    </w:p>
    <w:p>
      <w:pPr>
        <w:widowControl/>
        <w:shd w:val="clear" w:color="auto" w:fill="FFFFFF"/>
        <w:wordWrap w:val="0"/>
        <w:spacing w:line="399" w:lineRule="atLeast"/>
        <w:jc w:val="left"/>
        <w:rPr>
          <w:rFonts w:ascii="仿宋_GB2312" w:hAnsi="Calibri" w:eastAsia="仿宋_GB2312" w:cs="Calibri"/>
          <w:color w:val="333333"/>
          <w:kern w:val="0"/>
          <w:sz w:val="32"/>
          <w:szCs w:val="32"/>
        </w:rPr>
      </w:pPr>
      <w:r>
        <w:rPr>
          <w:rFonts w:hint="eastAsia" w:ascii="仿宋_GB2312" w:eastAsia="仿宋_GB2312"/>
          <w:sz w:val="32"/>
          <w:szCs w:val="32"/>
        </w:rPr>
        <w:t>附件1：</w:t>
      </w:r>
      <w:r>
        <w:rPr>
          <w:rFonts w:hint="eastAsia" w:ascii="仿宋_GB2312" w:hAnsi="Calibri" w:eastAsia="仿宋_GB2312" w:cs="Calibri"/>
          <w:color w:val="333333"/>
          <w:kern w:val="0"/>
          <w:sz w:val="32"/>
          <w:szCs w:val="32"/>
        </w:rPr>
        <w:t>《青岛农业大学</w:t>
      </w:r>
      <w:r>
        <w:rPr>
          <w:rFonts w:hint="eastAsia" w:ascii="仿宋_GB2312" w:eastAsia="仿宋_GB2312"/>
          <w:sz w:val="32"/>
          <w:szCs w:val="32"/>
        </w:rPr>
        <w:t>&lt;大学生职业生涯规划&gt;&lt;大学生就业指导&gt;</w:t>
      </w:r>
      <w:r>
        <w:rPr>
          <w:rFonts w:hint="eastAsia" w:ascii="仿宋_GB2312" w:hAnsi="Calibri" w:eastAsia="仿宋_GB2312" w:cs="Calibri"/>
          <w:color w:val="333333"/>
          <w:kern w:val="0"/>
          <w:sz w:val="32"/>
          <w:szCs w:val="32"/>
        </w:rPr>
        <w:t>课程授课教师申请登记表》</w:t>
      </w:r>
    </w:p>
    <w:p>
      <w:pPr>
        <w:rPr>
          <w:rFonts w:ascii="仿宋_GB2312" w:eastAsia="仿宋_GB2312"/>
          <w:sz w:val="32"/>
          <w:szCs w:val="32"/>
        </w:rPr>
      </w:pPr>
      <w:r>
        <w:rPr>
          <w:rFonts w:hint="eastAsia" w:ascii="仿宋_GB2312" w:hAnsi="Calibri" w:eastAsia="仿宋_GB2312" w:cs="Calibri"/>
          <w:color w:val="333333"/>
          <w:kern w:val="0"/>
          <w:sz w:val="32"/>
          <w:szCs w:val="32"/>
        </w:rPr>
        <w:t>附件2：《青岛农业大学</w:t>
      </w:r>
      <w:r>
        <w:rPr>
          <w:rFonts w:hint="eastAsia" w:ascii="仿宋_GB2312" w:eastAsia="仿宋_GB2312"/>
          <w:sz w:val="32"/>
          <w:szCs w:val="32"/>
        </w:rPr>
        <w:t>&lt;大学生职业生涯规划&gt;&lt;大学生就业指导&gt;</w:t>
      </w:r>
      <w:r>
        <w:rPr>
          <w:rFonts w:hint="eastAsia" w:ascii="仿宋_GB2312" w:hAnsi="Calibri" w:eastAsia="仿宋_GB2312" w:cs="Calibri"/>
          <w:color w:val="333333"/>
          <w:kern w:val="0"/>
          <w:sz w:val="32"/>
          <w:szCs w:val="32"/>
        </w:rPr>
        <w:t>课程授课教师申请汇总表》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1NWU3Zjg0NDNhMGM4NzFjZGU5MGI5NjU5ZjM5ZTgifQ=="/>
  </w:docVars>
  <w:rsids>
    <w:rsidRoot w:val="001F6314"/>
    <w:rsid w:val="001F6314"/>
    <w:rsid w:val="002121C2"/>
    <w:rsid w:val="00291184"/>
    <w:rsid w:val="00347E83"/>
    <w:rsid w:val="00367C4C"/>
    <w:rsid w:val="003E73B4"/>
    <w:rsid w:val="003F1467"/>
    <w:rsid w:val="004746E3"/>
    <w:rsid w:val="004B592A"/>
    <w:rsid w:val="007477AE"/>
    <w:rsid w:val="007825D4"/>
    <w:rsid w:val="00820515"/>
    <w:rsid w:val="00876BCF"/>
    <w:rsid w:val="008A5873"/>
    <w:rsid w:val="00AD4D05"/>
    <w:rsid w:val="00C15AA2"/>
    <w:rsid w:val="00C37A00"/>
    <w:rsid w:val="00FF10C7"/>
    <w:rsid w:val="7A7E3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8"/>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8">
    <w:name w:val="标题 3 字符"/>
    <w:basedOn w:val="6"/>
    <w:link w:val="2"/>
    <w:uiPriority w:val="9"/>
    <w:rPr>
      <w:rFonts w:ascii="宋体" w:hAnsi="宋体" w:eastAsia="宋体" w:cs="宋体"/>
      <w:b/>
      <w:bCs/>
      <w:kern w:val="0"/>
      <w:sz w:val="27"/>
      <w:szCs w:val="27"/>
    </w:rPr>
  </w:style>
  <w:style w:type="paragraph" w:customStyle="1" w:styleId="9">
    <w:name w:val="text-center"/>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字符"/>
    <w:basedOn w:val="6"/>
    <w:link w:val="4"/>
    <w:uiPriority w:val="99"/>
    <w:rPr>
      <w:sz w:val="18"/>
      <w:szCs w:val="18"/>
    </w:rPr>
  </w:style>
  <w:style w:type="character" w:customStyle="1" w:styleId="11">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990</Words>
  <Characters>1027</Characters>
  <Lines>7</Lines>
  <Paragraphs>2</Paragraphs>
  <TotalTime>50</TotalTime>
  <ScaleCrop>false</ScaleCrop>
  <LinksUpToDate>false</LinksUpToDate>
  <CharactersWithSpaces>1032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2022-05-24T07:26:00Z</dcterms:created>
  <dc:creator>Administrator</dc:creator>
  <cp:lastModifiedBy>牛鸣</cp:lastModifiedBy>
  <cp:lastPrinted>2022-05-30T00:24:00Z</cp:lastPrinted>
  <dcterms:modified xsi:type="dcterms:W3CDTF">2022-05-30T02:19:33Z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CD18DCCB8EEC43F6B89A2C29B9705439</vt:lpwstr>
  </property>
</Properties>
</file>