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强智教务系统兼容性设置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建议使用360浏览器</w:t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1，将360浏览器设置成兼容模式</w:t>
      </w:r>
    </w:p>
    <w:p>
      <w:r>
        <w:drawing>
          <wp:inline distT="0" distB="0" distL="114300" distR="114300">
            <wp:extent cx="5260340" cy="1866900"/>
            <wp:effectExtent l="0" t="0" r="165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b="6667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2，进入系统，点击右侧小红框里的图标，选择工具下的Internet选项</w:t>
      </w:r>
    </w:p>
    <w:p>
      <w:r>
        <w:drawing>
          <wp:inline distT="0" distB="0" distL="114300" distR="114300">
            <wp:extent cx="5273675" cy="2534285"/>
            <wp:effectExtent l="0" t="0" r="317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34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在弹出的界面中选择安全-受信任的站点-站点（将教务系统网址复制到红框中），点击添加。</w:t>
      </w:r>
    </w:p>
    <w:p>
      <w:r>
        <w:drawing>
          <wp:inline distT="0" distB="0" distL="114300" distR="114300">
            <wp:extent cx="5265420" cy="2995930"/>
            <wp:effectExtent l="0" t="0" r="11430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95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2880" cy="3121660"/>
            <wp:effectExtent l="0" t="0" r="1397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121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点击关闭，点击自定义级别（弹出右侧的小窗口）</w:t>
      </w:r>
    </w:p>
    <w:p>
      <w:r>
        <w:drawing>
          <wp:inline distT="0" distB="0" distL="114300" distR="114300">
            <wp:extent cx="5273040" cy="3188335"/>
            <wp:effectExtent l="0" t="0" r="381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883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在弹出的小窗口中将含有ActiveX单词的都设置为</w:t>
      </w:r>
      <w:r>
        <w:rPr>
          <w:rFonts w:hint="eastAsia"/>
          <w:color w:val="FF0000"/>
          <w:sz w:val="24"/>
          <w:szCs w:val="24"/>
          <w:lang w:val="en-US" w:eastAsia="zh-CN"/>
        </w:rPr>
        <w:t>启动</w:t>
      </w:r>
    </w:p>
    <w:p>
      <w:r>
        <w:drawing>
          <wp:inline distT="0" distB="0" distL="114300" distR="114300">
            <wp:extent cx="5264150" cy="2877820"/>
            <wp:effectExtent l="0" t="0" r="1270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877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设置好了之后，点击确定</w:t>
      </w:r>
    </w:p>
    <w:p>
      <w:r>
        <w:drawing>
          <wp:inline distT="0" distB="0" distL="114300" distR="114300">
            <wp:extent cx="5260975" cy="2773045"/>
            <wp:effectExtent l="0" t="0" r="15875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773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点击左侧</w:t>
      </w:r>
      <w:bookmarkStart w:id="0" w:name="_GoBack"/>
      <w:bookmarkEnd w:id="0"/>
      <w:r>
        <w:rPr>
          <w:rFonts w:hint="eastAsia"/>
          <w:sz w:val="24"/>
          <w:szCs w:val="24"/>
          <w:lang w:val="en-US" w:eastAsia="zh-CN"/>
        </w:rPr>
        <w:t>略长的窗口的应用，再点击确定</w:t>
      </w:r>
      <w:r>
        <w:rPr>
          <w:rFonts w:hint="eastAsia"/>
          <w:lang w:val="en-US" w:eastAsia="zh-CN"/>
        </w:rPr>
        <w:t>。</w:t>
      </w:r>
    </w:p>
    <w:p>
      <w:r>
        <w:drawing>
          <wp:inline distT="0" distB="0" distL="114300" distR="114300">
            <wp:extent cx="5271770" cy="3597275"/>
            <wp:effectExtent l="0" t="0" r="508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59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3，打开系统管理模块，在空白处右击，选择切换兼容性模式，选择IE9</w:t>
      </w:r>
    </w:p>
    <w:p>
      <w:r>
        <w:drawing>
          <wp:inline distT="0" distB="0" distL="114300" distR="114300">
            <wp:extent cx="5266055" cy="2962275"/>
            <wp:effectExtent l="0" t="0" r="1079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4，按照上面三步骤设置完后，即完成了兼容性设置。</w:t>
      </w:r>
    </w:p>
    <w:p>
      <w:pPr>
        <w:rPr>
          <w:rFonts w:hint="eastAsia"/>
          <w:lang w:val="en-US" w:eastAsia="zh-CN"/>
        </w:rPr>
      </w:pPr>
    </w:p>
    <w:sectPr>
      <w:pgSz w:w="11906" w:h="16838"/>
      <w:pgMar w:top="1134" w:right="1134" w:bottom="1020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3B55C06"/>
    <w:rsid w:val="3BA85E7B"/>
    <w:rsid w:val="4BD84A29"/>
    <w:rsid w:val="4E980FC4"/>
    <w:rsid w:val="76E73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曾林</dc:creator>
  <cp:lastModifiedBy>义國</cp:lastModifiedBy>
  <dcterms:modified xsi:type="dcterms:W3CDTF">2022-03-31T00:34:12Z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4D3FA059883A4F3586E02EB0E257BD50</vt:lpwstr>
  </property>
</Properties>
</file>