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9AF99">
      <w:pPr>
        <w:spacing w:line="700" w:lineRule="exact"/>
        <w:jc w:val="center"/>
        <w:rPr>
          <w:rFonts w:ascii="方正小标宋简体" w:hAnsi="方正小标宋简体" w:eastAsia="方正小标宋简体" w:cs="方正小标宋简体"/>
          <w:bCs/>
          <w:w w:val="95"/>
          <w:sz w:val="44"/>
          <w:szCs w:val="44"/>
        </w:rPr>
      </w:pPr>
      <w:r>
        <w:rPr>
          <w:rFonts w:hint="eastAsia" w:ascii="方正小标宋简体" w:hAnsi="方正小标宋简体" w:eastAsia="方正小标宋简体" w:cs="方正小标宋简体"/>
          <w:sz w:val="44"/>
          <w:szCs w:val="44"/>
        </w:rPr>
        <w:t>关于开展《</w:t>
      </w:r>
      <w:r>
        <w:rPr>
          <w:rFonts w:hint="eastAsia" w:ascii="方正小标宋简体" w:hAnsi="方正小标宋简体" w:eastAsia="方正小标宋简体" w:cs="方正小标宋简体"/>
          <w:bCs/>
          <w:w w:val="95"/>
          <w:sz w:val="44"/>
          <w:szCs w:val="44"/>
        </w:rPr>
        <w:t>巴瑟斯未来农业科技学院合作教师</w:t>
      </w:r>
      <w:r>
        <w:rPr>
          <w:rFonts w:hint="eastAsia" w:ascii="方正小标宋简体" w:hAnsi="方正小标宋简体" w:eastAsia="方正小标宋简体" w:cs="方正小标宋简体"/>
          <w:sz w:val="44"/>
          <w:szCs w:val="44"/>
        </w:rPr>
        <w:t>》选聘工作的通知</w:t>
      </w:r>
      <w:bookmarkStart w:id="0" w:name="_Hlk42200400"/>
    </w:p>
    <w:p w14:paraId="0AC5120D">
      <w:pPr>
        <w:spacing w:line="560" w:lineRule="exac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各学院</w:t>
      </w:r>
      <w:r>
        <w:rPr>
          <w:rFonts w:hint="eastAsia" w:ascii="Times New Roman" w:hAnsi="Times New Roman" w:eastAsia="仿宋_GB2312" w:cs="Times New Roman"/>
          <w:color w:val="000000" w:themeColor="text1"/>
          <w:sz w:val="32"/>
          <w:szCs w:val="32"/>
        </w:rPr>
        <w:t>：</w:t>
      </w:r>
    </w:p>
    <w:p w14:paraId="30BB61B8">
      <w:pPr>
        <w:spacing w:line="560" w:lineRule="exact"/>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巴瑟斯未来农业科技学院设有农学、农业资源与环境、食品科学与工程和物流管理四个本科</w:t>
      </w:r>
      <w:r>
        <w:rPr>
          <w:rFonts w:hint="eastAsia" w:ascii="Times New Roman" w:hAnsi="Times New Roman" w:eastAsia="仿宋_GB2312" w:cs="Times New Roman"/>
          <w:color w:val="000000" w:themeColor="text1"/>
          <w:sz w:val="32"/>
          <w:szCs w:val="32"/>
        </w:rPr>
        <w:t>中外合作办学</w:t>
      </w:r>
      <w:r>
        <w:rPr>
          <w:rFonts w:ascii="Times New Roman" w:hAnsi="Times New Roman" w:eastAsia="仿宋_GB2312" w:cs="Times New Roman"/>
          <w:color w:val="000000" w:themeColor="text1"/>
          <w:sz w:val="32"/>
          <w:szCs w:val="32"/>
        </w:rPr>
        <w:t>专业。因教学工作需要，学院亟需明确合作教师若干名，</w:t>
      </w:r>
      <w:r>
        <w:rPr>
          <w:rFonts w:hint="eastAsia" w:ascii="Times New Roman" w:hAnsi="Times New Roman" w:eastAsia="仿宋_GB2312" w:cs="Times New Roman"/>
          <w:color w:val="000000" w:themeColor="text1"/>
          <w:sz w:val="32"/>
          <w:szCs w:val="32"/>
        </w:rPr>
        <w:t>参与英国皇家农业大学专业核心课程的合作教学工作</w:t>
      </w:r>
      <w:r>
        <w:rPr>
          <w:rFonts w:ascii="Times New Roman" w:hAnsi="Times New Roman" w:eastAsia="仿宋_GB2312" w:cs="Times New Roman"/>
          <w:color w:val="000000" w:themeColor="text1"/>
          <w:sz w:val="32"/>
          <w:szCs w:val="32"/>
        </w:rPr>
        <w:t>。经研究，面向全校选聘相关专业核心课程合作教师。</w:t>
      </w:r>
    </w:p>
    <w:p w14:paraId="3A63D9CE">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一、2024-2025学年第二学期开设的专业核心课程合作教师需求情况</w:t>
      </w:r>
    </w:p>
    <w:tbl>
      <w:tblPr>
        <w:tblStyle w:val="7"/>
        <w:tblW w:w="505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1666"/>
        <w:gridCol w:w="1889"/>
        <w:gridCol w:w="3361"/>
      </w:tblGrid>
      <w:tr w14:paraId="3153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vAlign w:val="center"/>
          </w:tcPr>
          <w:p w14:paraId="6390D879">
            <w:pPr>
              <w:keepNext w:val="0"/>
              <w:keepLines w:val="0"/>
              <w:pageBreakBefore w:val="0"/>
              <w:widowControl w:val="0"/>
              <w:kinsoku/>
              <w:wordWrap/>
              <w:overflowPunct/>
              <w:topLinePunct w:val="0"/>
              <w:autoSpaceDE/>
              <w:autoSpaceDN/>
              <w:bidi w:val="0"/>
              <w:adjustRightInd/>
              <w:snapToGrid/>
              <w:spacing w:line="320" w:lineRule="exact"/>
              <w:textAlignment w:val="auto"/>
              <w:rPr>
                <w:rFonts w:ascii="黑体" w:hAnsi="黑体" w:eastAsia="黑体" w:cs="黑体"/>
                <w:sz w:val="24"/>
                <w:szCs w:val="24"/>
              </w:rPr>
            </w:pPr>
            <w:r>
              <w:rPr>
                <w:rFonts w:hint="eastAsia" w:ascii="黑体" w:hAnsi="黑体" w:eastAsia="黑体" w:cs="黑体"/>
                <w:sz w:val="24"/>
                <w:szCs w:val="24"/>
              </w:rPr>
              <w:t>课程名称</w:t>
            </w:r>
          </w:p>
        </w:tc>
        <w:tc>
          <w:tcPr>
            <w:tcW w:w="887" w:type="pct"/>
            <w:vAlign w:val="center"/>
          </w:tcPr>
          <w:p w14:paraId="225D802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黑体" w:hAnsi="黑体" w:eastAsia="黑体" w:cs="黑体"/>
                <w:sz w:val="24"/>
                <w:szCs w:val="24"/>
              </w:rPr>
            </w:pPr>
            <w:r>
              <w:rPr>
                <w:rFonts w:hint="eastAsia" w:ascii="黑体" w:hAnsi="黑体" w:eastAsia="黑体" w:cs="黑体"/>
                <w:sz w:val="24"/>
                <w:szCs w:val="24"/>
              </w:rPr>
              <w:t>班级数</w:t>
            </w:r>
          </w:p>
        </w:tc>
        <w:tc>
          <w:tcPr>
            <w:tcW w:w="1006" w:type="pct"/>
            <w:vAlign w:val="center"/>
          </w:tcPr>
          <w:p w14:paraId="1D9F4A2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黑体" w:hAnsi="黑体" w:eastAsia="黑体" w:cs="黑体"/>
                <w:sz w:val="24"/>
                <w:szCs w:val="24"/>
              </w:rPr>
            </w:pPr>
            <w:r>
              <w:rPr>
                <w:rFonts w:hint="eastAsia" w:ascii="黑体" w:hAnsi="黑体" w:eastAsia="黑体" w:cs="黑体"/>
                <w:sz w:val="24"/>
                <w:szCs w:val="24"/>
              </w:rPr>
              <w:t>合作教师数</w:t>
            </w:r>
          </w:p>
        </w:tc>
        <w:tc>
          <w:tcPr>
            <w:tcW w:w="1790" w:type="pct"/>
            <w:vAlign w:val="center"/>
          </w:tcPr>
          <w:p w14:paraId="536DD35D">
            <w:pPr>
              <w:keepNext w:val="0"/>
              <w:keepLines w:val="0"/>
              <w:pageBreakBefore w:val="0"/>
              <w:widowControl w:val="0"/>
              <w:kinsoku/>
              <w:wordWrap/>
              <w:overflowPunct/>
              <w:topLinePunct w:val="0"/>
              <w:autoSpaceDE/>
              <w:autoSpaceDN/>
              <w:bidi w:val="0"/>
              <w:adjustRightInd/>
              <w:snapToGrid/>
              <w:spacing w:line="320" w:lineRule="exact"/>
              <w:textAlignment w:val="auto"/>
              <w:rPr>
                <w:rFonts w:ascii="黑体" w:hAnsi="黑体" w:eastAsia="黑体" w:cs="黑体"/>
                <w:sz w:val="24"/>
                <w:szCs w:val="24"/>
              </w:rPr>
            </w:pPr>
            <w:r>
              <w:rPr>
                <w:rFonts w:hint="eastAsia" w:ascii="黑体" w:hAnsi="黑体" w:eastAsia="黑体" w:cs="黑体"/>
                <w:sz w:val="24"/>
                <w:szCs w:val="24"/>
              </w:rPr>
              <w:t>合作教师学院</w:t>
            </w:r>
          </w:p>
        </w:tc>
      </w:tr>
      <w:tr w14:paraId="7C8D2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vAlign w:val="center"/>
          </w:tcPr>
          <w:p w14:paraId="30AC5AD0">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黑体" w:eastAsia="仿宋_GB2312" w:cs="黑体"/>
                <w:sz w:val="24"/>
                <w:szCs w:val="24"/>
              </w:rPr>
            </w:pPr>
            <w:r>
              <w:rPr>
                <w:rFonts w:hint="eastAsia" w:ascii="仿宋_GB2312" w:hAnsi="Times New Roman" w:eastAsia="仿宋_GB2312" w:cs="Times New Roman"/>
                <w:sz w:val="24"/>
                <w:szCs w:val="24"/>
              </w:rPr>
              <w:t>创业与企业发展</w:t>
            </w:r>
          </w:p>
        </w:tc>
        <w:tc>
          <w:tcPr>
            <w:tcW w:w="887" w:type="pct"/>
            <w:vAlign w:val="center"/>
          </w:tcPr>
          <w:p w14:paraId="78AB135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006" w:type="pct"/>
            <w:vAlign w:val="center"/>
          </w:tcPr>
          <w:p w14:paraId="115DD94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790" w:type="pct"/>
            <w:vAlign w:val="center"/>
          </w:tcPr>
          <w:p w14:paraId="102FB52C">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黑体" w:eastAsia="仿宋_GB2312" w:cs="黑体"/>
                <w:sz w:val="24"/>
                <w:szCs w:val="24"/>
              </w:rPr>
            </w:pPr>
            <w:r>
              <w:rPr>
                <w:rFonts w:hint="eastAsia" w:ascii="仿宋_GB2312" w:hAnsi="Times New Roman" w:eastAsia="仿宋_GB2312" w:cs="Times New Roman"/>
                <w:sz w:val="24"/>
                <w:szCs w:val="24"/>
              </w:rPr>
              <w:t>经济管理学院（合作社学院）</w:t>
            </w:r>
          </w:p>
        </w:tc>
      </w:tr>
      <w:tr w14:paraId="0B0C3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vAlign w:val="center"/>
          </w:tcPr>
          <w:p w14:paraId="6795006D">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运营管理</w:t>
            </w:r>
          </w:p>
        </w:tc>
        <w:tc>
          <w:tcPr>
            <w:tcW w:w="887" w:type="pct"/>
            <w:vAlign w:val="center"/>
          </w:tcPr>
          <w:p w14:paraId="44269B3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2</w:t>
            </w:r>
          </w:p>
        </w:tc>
        <w:tc>
          <w:tcPr>
            <w:tcW w:w="1006" w:type="pct"/>
            <w:vAlign w:val="center"/>
          </w:tcPr>
          <w:p w14:paraId="13D2EE0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2</w:t>
            </w:r>
          </w:p>
        </w:tc>
        <w:tc>
          <w:tcPr>
            <w:tcW w:w="1790" w:type="pct"/>
            <w:vAlign w:val="center"/>
          </w:tcPr>
          <w:p w14:paraId="6489AE98">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经济管理学院（合作社学院）</w:t>
            </w:r>
          </w:p>
        </w:tc>
      </w:tr>
      <w:tr w14:paraId="7B4D1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vAlign w:val="center"/>
          </w:tcPr>
          <w:p w14:paraId="35D9898D">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人与组织</w:t>
            </w:r>
          </w:p>
        </w:tc>
        <w:tc>
          <w:tcPr>
            <w:tcW w:w="887" w:type="pct"/>
            <w:vAlign w:val="center"/>
          </w:tcPr>
          <w:p w14:paraId="5E3DBA9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3</w:t>
            </w:r>
          </w:p>
        </w:tc>
        <w:tc>
          <w:tcPr>
            <w:tcW w:w="1006" w:type="pct"/>
            <w:vAlign w:val="center"/>
          </w:tcPr>
          <w:p w14:paraId="3D62E82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3</w:t>
            </w:r>
          </w:p>
        </w:tc>
        <w:tc>
          <w:tcPr>
            <w:tcW w:w="1790" w:type="pct"/>
            <w:vAlign w:val="center"/>
          </w:tcPr>
          <w:p w14:paraId="2AE214CC">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经济管理学院（合作社学院）</w:t>
            </w:r>
          </w:p>
        </w:tc>
      </w:tr>
      <w:tr w14:paraId="1E4BA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shd w:val="clear" w:color="auto" w:fill="auto"/>
            <w:vAlign w:val="center"/>
          </w:tcPr>
          <w:p w14:paraId="6329A814">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耕作管理制度</w:t>
            </w:r>
          </w:p>
        </w:tc>
        <w:tc>
          <w:tcPr>
            <w:tcW w:w="887" w:type="pct"/>
            <w:shd w:val="clear" w:color="auto" w:fill="auto"/>
            <w:vAlign w:val="center"/>
          </w:tcPr>
          <w:p w14:paraId="419CD5C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006" w:type="pct"/>
            <w:shd w:val="clear" w:color="auto" w:fill="auto"/>
            <w:vAlign w:val="center"/>
          </w:tcPr>
          <w:p w14:paraId="39A5F27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790" w:type="pct"/>
            <w:shd w:val="clear" w:color="auto" w:fill="auto"/>
            <w:vAlign w:val="center"/>
          </w:tcPr>
          <w:p w14:paraId="228C08A0">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黑体" w:eastAsia="仿宋_GB2312" w:cs="黑体"/>
                <w:sz w:val="24"/>
                <w:szCs w:val="24"/>
              </w:rPr>
            </w:pPr>
            <w:r>
              <w:rPr>
                <w:rFonts w:hint="eastAsia" w:ascii="仿宋_GB2312" w:hAnsi="Times New Roman" w:eastAsia="仿宋_GB2312" w:cs="Times New Roman"/>
                <w:sz w:val="24"/>
                <w:szCs w:val="24"/>
              </w:rPr>
              <w:t>农学院</w:t>
            </w:r>
          </w:p>
        </w:tc>
      </w:tr>
      <w:tr w14:paraId="2BF11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shd w:val="clear" w:color="auto" w:fill="auto"/>
            <w:vAlign w:val="center"/>
          </w:tcPr>
          <w:p w14:paraId="75F9DD70">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农业技术</w:t>
            </w:r>
          </w:p>
        </w:tc>
        <w:tc>
          <w:tcPr>
            <w:tcW w:w="887" w:type="pct"/>
            <w:shd w:val="clear" w:color="auto" w:fill="auto"/>
            <w:vAlign w:val="center"/>
          </w:tcPr>
          <w:p w14:paraId="7C70ABE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006" w:type="pct"/>
            <w:shd w:val="clear" w:color="auto" w:fill="auto"/>
            <w:vAlign w:val="center"/>
          </w:tcPr>
          <w:p w14:paraId="2826521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790" w:type="pct"/>
            <w:shd w:val="clear" w:color="auto" w:fill="auto"/>
            <w:vAlign w:val="center"/>
          </w:tcPr>
          <w:p w14:paraId="444D3A19">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黑体" w:eastAsia="仿宋_GB2312" w:cs="黑体"/>
                <w:sz w:val="24"/>
                <w:szCs w:val="24"/>
              </w:rPr>
            </w:pPr>
            <w:r>
              <w:rPr>
                <w:rFonts w:hint="eastAsia" w:ascii="仿宋_GB2312" w:hAnsi="Times New Roman" w:eastAsia="仿宋_GB2312" w:cs="Times New Roman"/>
                <w:sz w:val="24"/>
                <w:szCs w:val="24"/>
              </w:rPr>
              <w:t>农学院</w:t>
            </w:r>
          </w:p>
        </w:tc>
      </w:tr>
      <w:tr w14:paraId="41F1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shd w:val="clear" w:color="auto" w:fill="auto"/>
            <w:vAlign w:val="center"/>
          </w:tcPr>
          <w:p w14:paraId="305DC64A">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新兴农产品问题</w:t>
            </w:r>
          </w:p>
        </w:tc>
        <w:tc>
          <w:tcPr>
            <w:tcW w:w="887" w:type="pct"/>
            <w:shd w:val="clear" w:color="auto" w:fill="auto"/>
            <w:vAlign w:val="center"/>
          </w:tcPr>
          <w:p w14:paraId="5249D1F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4</w:t>
            </w:r>
          </w:p>
        </w:tc>
        <w:tc>
          <w:tcPr>
            <w:tcW w:w="1006" w:type="pct"/>
            <w:shd w:val="clear" w:color="auto" w:fill="auto"/>
            <w:vAlign w:val="center"/>
          </w:tcPr>
          <w:p w14:paraId="3913A10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4</w:t>
            </w:r>
          </w:p>
        </w:tc>
        <w:tc>
          <w:tcPr>
            <w:tcW w:w="1790" w:type="pct"/>
            <w:shd w:val="clear" w:color="auto" w:fill="auto"/>
            <w:vAlign w:val="center"/>
          </w:tcPr>
          <w:p w14:paraId="3242476C">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农学院</w:t>
            </w:r>
          </w:p>
        </w:tc>
      </w:tr>
      <w:tr w14:paraId="46E5D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shd w:val="clear" w:color="auto" w:fill="auto"/>
            <w:vAlign w:val="center"/>
          </w:tcPr>
          <w:p w14:paraId="79CAF92C">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应用植物科学</w:t>
            </w:r>
          </w:p>
        </w:tc>
        <w:tc>
          <w:tcPr>
            <w:tcW w:w="887" w:type="pct"/>
            <w:shd w:val="clear" w:color="auto" w:fill="auto"/>
            <w:vAlign w:val="center"/>
          </w:tcPr>
          <w:p w14:paraId="0C53225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006" w:type="pct"/>
            <w:shd w:val="clear" w:color="auto" w:fill="auto"/>
            <w:vAlign w:val="center"/>
          </w:tcPr>
          <w:p w14:paraId="5352025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790" w:type="pct"/>
            <w:shd w:val="clear" w:color="auto" w:fill="auto"/>
            <w:vAlign w:val="center"/>
          </w:tcPr>
          <w:p w14:paraId="0996E43A">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农学院</w:t>
            </w:r>
          </w:p>
        </w:tc>
      </w:tr>
      <w:tr w14:paraId="454C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vAlign w:val="center"/>
          </w:tcPr>
          <w:p w14:paraId="5EC30569">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景观保护</w:t>
            </w:r>
          </w:p>
        </w:tc>
        <w:tc>
          <w:tcPr>
            <w:tcW w:w="887" w:type="pct"/>
            <w:vAlign w:val="center"/>
          </w:tcPr>
          <w:p w14:paraId="2CF6A49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006" w:type="pct"/>
            <w:vAlign w:val="center"/>
          </w:tcPr>
          <w:p w14:paraId="0348FC5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790" w:type="pct"/>
            <w:vAlign w:val="center"/>
          </w:tcPr>
          <w:p w14:paraId="07BF7DB3">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黑体" w:eastAsia="仿宋_GB2312" w:cs="黑体"/>
                <w:sz w:val="24"/>
                <w:szCs w:val="24"/>
              </w:rPr>
            </w:pPr>
            <w:r>
              <w:rPr>
                <w:rFonts w:hint="eastAsia" w:ascii="仿宋_GB2312" w:hAnsi="Times New Roman" w:eastAsia="仿宋_GB2312" w:cs="Times New Roman"/>
                <w:sz w:val="24"/>
                <w:szCs w:val="24"/>
              </w:rPr>
              <w:t>资源与环境学院</w:t>
            </w:r>
          </w:p>
        </w:tc>
      </w:tr>
      <w:tr w14:paraId="5984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vAlign w:val="center"/>
          </w:tcPr>
          <w:p w14:paraId="5900CBD9">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食品地理学</w:t>
            </w:r>
          </w:p>
        </w:tc>
        <w:tc>
          <w:tcPr>
            <w:tcW w:w="887" w:type="pct"/>
            <w:vAlign w:val="center"/>
          </w:tcPr>
          <w:p w14:paraId="438ACF3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1</w:t>
            </w:r>
          </w:p>
        </w:tc>
        <w:tc>
          <w:tcPr>
            <w:tcW w:w="1006" w:type="pct"/>
            <w:vAlign w:val="center"/>
          </w:tcPr>
          <w:p w14:paraId="33DFA0A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1</w:t>
            </w:r>
          </w:p>
        </w:tc>
        <w:tc>
          <w:tcPr>
            <w:tcW w:w="1790" w:type="pct"/>
            <w:vAlign w:val="center"/>
          </w:tcPr>
          <w:p w14:paraId="77268C8F">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资源与环境学院</w:t>
            </w:r>
          </w:p>
        </w:tc>
      </w:tr>
      <w:tr w14:paraId="5019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vAlign w:val="center"/>
          </w:tcPr>
          <w:p w14:paraId="46AFDB38">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土壤与环境科学</w:t>
            </w:r>
          </w:p>
        </w:tc>
        <w:tc>
          <w:tcPr>
            <w:tcW w:w="887" w:type="pct"/>
            <w:vAlign w:val="center"/>
          </w:tcPr>
          <w:p w14:paraId="293843E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006" w:type="pct"/>
            <w:vAlign w:val="center"/>
          </w:tcPr>
          <w:p w14:paraId="54C2C69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790" w:type="pct"/>
            <w:vAlign w:val="center"/>
          </w:tcPr>
          <w:p w14:paraId="5ED22F8B">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资源与环境学院</w:t>
            </w:r>
          </w:p>
        </w:tc>
      </w:tr>
      <w:tr w14:paraId="3FDAF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vAlign w:val="center"/>
          </w:tcPr>
          <w:p w14:paraId="4016592A">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农业生态系统恢复</w:t>
            </w:r>
          </w:p>
        </w:tc>
        <w:tc>
          <w:tcPr>
            <w:tcW w:w="887" w:type="pct"/>
            <w:vAlign w:val="center"/>
          </w:tcPr>
          <w:p w14:paraId="2C5F823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006" w:type="pct"/>
            <w:vAlign w:val="center"/>
          </w:tcPr>
          <w:p w14:paraId="068DB1A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790" w:type="pct"/>
            <w:vAlign w:val="center"/>
          </w:tcPr>
          <w:p w14:paraId="449CCAD8">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黑体" w:eastAsia="仿宋_GB2312" w:cs="黑体"/>
                <w:sz w:val="24"/>
                <w:szCs w:val="24"/>
              </w:rPr>
            </w:pPr>
            <w:r>
              <w:rPr>
                <w:rFonts w:hint="eastAsia" w:ascii="仿宋_GB2312" w:hAnsi="Times New Roman" w:eastAsia="仿宋_GB2312" w:cs="Times New Roman"/>
                <w:sz w:val="24"/>
                <w:szCs w:val="24"/>
              </w:rPr>
              <w:t>资源与环境学院</w:t>
            </w:r>
          </w:p>
        </w:tc>
      </w:tr>
      <w:tr w14:paraId="7A961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vAlign w:val="center"/>
          </w:tcPr>
          <w:p w14:paraId="4F05A802">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农业与食品生产科学</w:t>
            </w:r>
          </w:p>
        </w:tc>
        <w:tc>
          <w:tcPr>
            <w:tcW w:w="887" w:type="pct"/>
            <w:vAlign w:val="center"/>
          </w:tcPr>
          <w:p w14:paraId="1F702E1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006" w:type="pct"/>
            <w:vAlign w:val="center"/>
          </w:tcPr>
          <w:p w14:paraId="7E1CA3D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黑体" w:eastAsia="仿宋_GB2312" w:cs="黑体"/>
                <w:sz w:val="24"/>
                <w:szCs w:val="24"/>
              </w:rPr>
            </w:pPr>
            <w:r>
              <w:rPr>
                <w:rFonts w:hint="eastAsia" w:ascii="仿宋_GB2312" w:hAnsi="黑体" w:eastAsia="仿宋_GB2312" w:cs="黑体"/>
                <w:sz w:val="24"/>
                <w:szCs w:val="24"/>
              </w:rPr>
              <w:t>1</w:t>
            </w:r>
          </w:p>
        </w:tc>
        <w:tc>
          <w:tcPr>
            <w:tcW w:w="1790" w:type="pct"/>
            <w:vAlign w:val="center"/>
          </w:tcPr>
          <w:p w14:paraId="6857A090">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食品科学与工程学院</w:t>
            </w:r>
          </w:p>
        </w:tc>
      </w:tr>
      <w:tr w14:paraId="7A0E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vAlign w:val="center"/>
          </w:tcPr>
          <w:p w14:paraId="638E5938">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营养健康与社会</w:t>
            </w:r>
          </w:p>
        </w:tc>
        <w:tc>
          <w:tcPr>
            <w:tcW w:w="887" w:type="pct"/>
            <w:vAlign w:val="center"/>
          </w:tcPr>
          <w:p w14:paraId="730009F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2</w:t>
            </w:r>
          </w:p>
        </w:tc>
        <w:tc>
          <w:tcPr>
            <w:tcW w:w="1006" w:type="pct"/>
            <w:vAlign w:val="center"/>
          </w:tcPr>
          <w:p w14:paraId="5FA8749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2</w:t>
            </w:r>
          </w:p>
        </w:tc>
        <w:tc>
          <w:tcPr>
            <w:tcW w:w="1790" w:type="pct"/>
            <w:vAlign w:val="center"/>
          </w:tcPr>
          <w:p w14:paraId="4EAFE37E">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食品科学与工程学院</w:t>
            </w:r>
          </w:p>
        </w:tc>
      </w:tr>
      <w:tr w14:paraId="63A89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vAlign w:val="center"/>
          </w:tcPr>
          <w:p w14:paraId="008DDCC1">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生鲜农产品保藏与运销</w:t>
            </w:r>
          </w:p>
        </w:tc>
        <w:tc>
          <w:tcPr>
            <w:tcW w:w="887" w:type="pct"/>
            <w:vAlign w:val="center"/>
          </w:tcPr>
          <w:p w14:paraId="08FA215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2</w:t>
            </w:r>
          </w:p>
        </w:tc>
        <w:tc>
          <w:tcPr>
            <w:tcW w:w="1006" w:type="pct"/>
            <w:vAlign w:val="center"/>
          </w:tcPr>
          <w:p w14:paraId="44E5523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2</w:t>
            </w:r>
          </w:p>
        </w:tc>
        <w:tc>
          <w:tcPr>
            <w:tcW w:w="1790" w:type="pct"/>
            <w:vAlign w:val="center"/>
          </w:tcPr>
          <w:p w14:paraId="7429C169">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食品科学与工程学院</w:t>
            </w:r>
          </w:p>
        </w:tc>
      </w:tr>
      <w:tr w14:paraId="671A5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vAlign w:val="center"/>
          </w:tcPr>
          <w:p w14:paraId="1534647B">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畜牧生产I</w:t>
            </w:r>
          </w:p>
        </w:tc>
        <w:tc>
          <w:tcPr>
            <w:tcW w:w="887" w:type="pct"/>
            <w:vAlign w:val="center"/>
          </w:tcPr>
          <w:p w14:paraId="6DECCE8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1</w:t>
            </w:r>
          </w:p>
        </w:tc>
        <w:tc>
          <w:tcPr>
            <w:tcW w:w="1006" w:type="pct"/>
            <w:vAlign w:val="center"/>
          </w:tcPr>
          <w:p w14:paraId="07FC4DC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1</w:t>
            </w:r>
          </w:p>
        </w:tc>
        <w:tc>
          <w:tcPr>
            <w:tcW w:w="1790" w:type="pct"/>
            <w:vAlign w:val="center"/>
          </w:tcPr>
          <w:p w14:paraId="05DA543D">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动物科技学院、动物医学院</w:t>
            </w:r>
          </w:p>
        </w:tc>
      </w:tr>
      <w:tr w14:paraId="5642E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15" w:type="pct"/>
            <w:vAlign w:val="center"/>
          </w:tcPr>
          <w:p w14:paraId="49A405E3">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组织研究</w:t>
            </w:r>
          </w:p>
        </w:tc>
        <w:tc>
          <w:tcPr>
            <w:tcW w:w="887" w:type="pct"/>
            <w:vAlign w:val="center"/>
          </w:tcPr>
          <w:p w14:paraId="143AC96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5</w:t>
            </w:r>
          </w:p>
        </w:tc>
        <w:tc>
          <w:tcPr>
            <w:tcW w:w="1006" w:type="pct"/>
            <w:vAlign w:val="center"/>
          </w:tcPr>
          <w:p w14:paraId="7015265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5</w:t>
            </w:r>
          </w:p>
        </w:tc>
        <w:tc>
          <w:tcPr>
            <w:tcW w:w="1790" w:type="pct"/>
            <w:vAlign w:val="center"/>
          </w:tcPr>
          <w:p w14:paraId="6B8EE638">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不限学院（授课内容与毕业论文开展相关）</w:t>
            </w:r>
          </w:p>
        </w:tc>
      </w:tr>
    </w:tbl>
    <w:p w14:paraId="5B2E816F">
      <w:pPr>
        <w:spacing w:line="560" w:lineRule="exact"/>
        <w:ind w:firstLine="640" w:firstLineChars="200"/>
        <w:rPr>
          <w:rFonts w:ascii="Times New Roman" w:hAnsi="Times New Roman" w:eastAsia="仿宋_GB2312" w:cs="Times New Roman"/>
          <w:color w:val="FF0000"/>
          <w:sz w:val="32"/>
          <w:szCs w:val="32"/>
        </w:rPr>
      </w:pPr>
      <w:r>
        <w:rPr>
          <w:rFonts w:ascii="Times New Roman" w:hAnsi="Times New Roman" w:eastAsia="仿宋_GB2312" w:cs="Times New Roman"/>
          <w:color w:val="auto"/>
          <w:sz w:val="32"/>
          <w:szCs w:val="32"/>
        </w:rPr>
        <w:t>为了保证教学计划和教学任务</w:t>
      </w:r>
      <w:r>
        <w:rPr>
          <w:rFonts w:hint="eastAsia" w:ascii="Times New Roman" w:hAnsi="Times New Roman" w:eastAsia="仿宋_GB2312" w:cs="Times New Roman"/>
          <w:color w:val="auto"/>
          <w:sz w:val="32"/>
          <w:szCs w:val="32"/>
          <w:lang w:val="en-US" w:eastAsia="zh-CN"/>
        </w:rPr>
        <w:t>顺利进行</w:t>
      </w:r>
      <w:r>
        <w:rPr>
          <w:rFonts w:ascii="Times New Roman" w:hAnsi="Times New Roman" w:eastAsia="仿宋_GB2312" w:cs="Times New Roman"/>
          <w:color w:val="auto"/>
          <w:sz w:val="32"/>
          <w:szCs w:val="32"/>
        </w:rPr>
        <w:t>，巴瑟斯未来农业科技学院面向全校范围选聘合作教师</w:t>
      </w:r>
      <w:r>
        <w:rPr>
          <w:rFonts w:hint="eastAsia" w:ascii="Times New Roman" w:hAnsi="Times New Roman" w:eastAsia="仿宋_GB2312" w:cs="Times New Roman"/>
          <w:color w:val="auto"/>
          <w:sz w:val="32"/>
          <w:szCs w:val="32"/>
        </w:rPr>
        <w:t>28</w:t>
      </w:r>
      <w:r>
        <w:rPr>
          <w:rFonts w:ascii="Times New Roman" w:hAnsi="Times New Roman" w:eastAsia="仿宋_GB2312" w:cs="Times New Roman"/>
          <w:color w:val="auto"/>
          <w:sz w:val="32"/>
          <w:szCs w:val="32"/>
        </w:rPr>
        <w:t>名，</w:t>
      </w:r>
      <w:r>
        <w:rPr>
          <w:rFonts w:hint="eastAsia" w:ascii="Times New Roman" w:hAnsi="Times New Roman" w:eastAsia="仿宋_GB2312" w:cs="Times New Roman"/>
          <w:color w:val="auto"/>
          <w:sz w:val="32"/>
          <w:szCs w:val="32"/>
          <w:lang w:val="en-US" w:eastAsia="zh-CN"/>
        </w:rPr>
        <w:t>请各学院根据实际情况按照上述表格中课程及人数</w:t>
      </w: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安排合作教师</w:t>
      </w:r>
      <w:r>
        <w:rPr>
          <w:rFonts w:hint="eastAsia" w:ascii="Times New Roman" w:hAnsi="Times New Roman" w:eastAsia="仿宋_GB2312" w:cs="Times New Roman"/>
          <w:color w:val="auto"/>
          <w:sz w:val="32"/>
          <w:szCs w:val="32"/>
        </w:rPr>
        <w:t>。</w:t>
      </w:r>
    </w:p>
    <w:p w14:paraId="6E4C561D">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二、2024-2025学年第二学期开设的专业核心课程开设时间</w:t>
      </w:r>
    </w:p>
    <w:p w14:paraId="5229ED7C">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见附件1：巴瑟斯</w:t>
      </w:r>
      <w:r>
        <w:rPr>
          <w:rFonts w:hint="eastAsia" w:ascii="Times New Roman" w:hAnsi="Times New Roman" w:eastAsia="仿宋_GB2312" w:cs="Times New Roman"/>
          <w:sz w:val="32"/>
          <w:szCs w:val="32"/>
          <w:lang w:val="en-US" w:eastAsia="zh-CN"/>
        </w:rPr>
        <w:t>未来农业科技</w:t>
      </w:r>
      <w:r>
        <w:rPr>
          <w:rFonts w:hint="eastAsia" w:ascii="Times New Roman" w:hAnsi="Times New Roman" w:eastAsia="仿宋_GB2312" w:cs="Times New Roman"/>
          <w:sz w:val="32"/>
          <w:szCs w:val="32"/>
        </w:rPr>
        <w:t>学院2024-2025-2专业核心课程教学安排表</w:t>
      </w:r>
    </w:p>
    <w:bookmarkEnd w:id="0"/>
    <w:p w14:paraId="40543E03">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三、合作教师的选聘要求</w:t>
      </w:r>
    </w:p>
    <w:p w14:paraId="4FBF315C">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.政治立场坚定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有理想信念</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有道德情操</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有扎实学识</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有仁爱之心，爱岗敬业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乐于奉献</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廉洁从教</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为人师表</w:t>
      </w:r>
      <w:r>
        <w:rPr>
          <w:rFonts w:hint="eastAsia" w:ascii="Times New Roman" w:hAnsi="Times New Roman" w:eastAsia="仿宋_GB2312" w:cs="Times New Roman"/>
          <w:sz w:val="32"/>
          <w:szCs w:val="32"/>
        </w:rPr>
        <w:t>。</w:t>
      </w:r>
    </w:p>
    <w:p w14:paraId="2D9EDBD0">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.有博士学位</w:t>
      </w:r>
      <w:r>
        <w:rPr>
          <w:rFonts w:hint="eastAsia" w:ascii="Times New Roman" w:hAnsi="Times New Roman" w:eastAsia="仿宋_GB2312" w:cs="Times New Roman"/>
          <w:sz w:val="32"/>
          <w:szCs w:val="32"/>
        </w:rPr>
        <w:t>，具有两年以上本科教学经验，教学效果好</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教学经验比较丰富。</w:t>
      </w:r>
    </w:p>
    <w:p w14:paraId="1C146116">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有较为深厚的英语语言功底，在国内接受过有关英语强化培训，有较强的英语应用能力，能够流畅地运用英语进行交流。有半年以上英语国家留学经历者优先。</w:t>
      </w:r>
    </w:p>
    <w:p w14:paraId="7318BE13">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4.所选课程</w:t>
      </w:r>
      <w:r>
        <w:rPr>
          <w:rFonts w:hint="eastAsia" w:ascii="Times New Roman" w:hAnsi="Times New Roman" w:eastAsia="仿宋_GB2312" w:cs="Times New Roman"/>
          <w:sz w:val="32"/>
          <w:szCs w:val="32"/>
        </w:rPr>
        <w:t>应</w:t>
      </w:r>
      <w:r>
        <w:rPr>
          <w:rFonts w:ascii="Times New Roman" w:hAnsi="Times New Roman" w:eastAsia="仿宋_GB2312" w:cs="Times New Roman"/>
          <w:sz w:val="32"/>
          <w:szCs w:val="32"/>
        </w:rPr>
        <w:t>与自己讲授专业课程相近。</w:t>
      </w:r>
    </w:p>
    <w:p w14:paraId="2D27C248">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四、合作教师的工作职责</w:t>
      </w:r>
    </w:p>
    <w:p w14:paraId="3828DB53">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.全程参与该课程的听课</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学生考勤</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课堂教学管理等辅助教学工作，帮助学生与英方教师沟通交流和答疑解惑</w:t>
      </w:r>
      <w:r>
        <w:rPr>
          <w:rFonts w:hint="eastAsia" w:ascii="Times New Roman" w:hAnsi="Times New Roman" w:eastAsia="仿宋_GB2312" w:cs="Times New Roman"/>
          <w:sz w:val="32"/>
          <w:szCs w:val="32"/>
        </w:rPr>
        <w:t>，基于合作教师的专业背景，合理指导和引导学生合作课程的学习</w:t>
      </w:r>
      <w:r>
        <w:rPr>
          <w:rFonts w:ascii="Times New Roman" w:hAnsi="Times New Roman" w:eastAsia="仿宋_GB2312" w:cs="Times New Roman"/>
          <w:sz w:val="32"/>
          <w:szCs w:val="32"/>
        </w:rPr>
        <w:t>；</w:t>
      </w:r>
    </w:p>
    <w:p w14:paraId="65D1231E">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2.积极研究英方教师教学理念、教学模式和教学方法，创新我校教育教学方式方法，推动我校教学模式和方法改革；</w:t>
      </w:r>
    </w:p>
    <w:p w14:paraId="129221CC">
      <w:pPr>
        <w:spacing w:line="560" w:lineRule="exact"/>
        <w:ind w:firstLine="640" w:firstLineChars="200"/>
        <w:rPr>
          <w:rFonts w:eastAsia="仿宋_GB2312"/>
          <w:color w:val="000000" w:themeColor="text1"/>
          <w:sz w:val="32"/>
          <w:szCs w:val="32"/>
        </w:rPr>
      </w:pPr>
      <w:r>
        <w:rPr>
          <w:rFonts w:hint="eastAsia" w:eastAsia="仿宋_GB2312"/>
          <w:color w:val="000000" w:themeColor="text1"/>
          <w:sz w:val="32"/>
          <w:szCs w:val="32"/>
        </w:rPr>
        <w:t>3.与</w:t>
      </w:r>
      <w:r>
        <w:rPr>
          <w:rFonts w:ascii="Times New Roman" w:hAnsi="Times New Roman" w:eastAsia="仿宋_GB2312" w:cs="Times New Roman"/>
          <w:sz w:val="32"/>
          <w:szCs w:val="32"/>
        </w:rPr>
        <w:t>英方</w:t>
      </w:r>
      <w:r>
        <w:rPr>
          <w:rFonts w:hint="eastAsia" w:eastAsia="仿宋_GB2312"/>
          <w:color w:val="000000" w:themeColor="text1"/>
          <w:sz w:val="32"/>
          <w:szCs w:val="32"/>
        </w:rPr>
        <w:t>教师一起承担合作课程教学实习和实验教学工作；</w:t>
      </w:r>
    </w:p>
    <w:p w14:paraId="6D7399A0">
      <w:pPr>
        <w:spacing w:line="560" w:lineRule="exact"/>
        <w:ind w:firstLine="640" w:firstLineChars="200"/>
        <w:rPr>
          <w:rFonts w:eastAsia="仿宋_GB2312"/>
          <w:color w:val="000000" w:themeColor="text1"/>
          <w:sz w:val="32"/>
          <w:szCs w:val="32"/>
        </w:rPr>
      </w:pPr>
      <w:r>
        <w:rPr>
          <w:rFonts w:hint="eastAsia" w:eastAsia="仿宋_GB2312"/>
          <w:color w:val="000000" w:themeColor="text1"/>
          <w:sz w:val="32"/>
          <w:szCs w:val="32"/>
        </w:rPr>
        <w:t>4.负责</w:t>
      </w:r>
      <w:r>
        <w:rPr>
          <w:rFonts w:ascii="Times New Roman" w:hAnsi="Times New Roman" w:eastAsia="仿宋_GB2312" w:cs="Times New Roman"/>
          <w:sz w:val="32"/>
          <w:szCs w:val="32"/>
        </w:rPr>
        <w:t>英方</w:t>
      </w:r>
      <w:r>
        <w:rPr>
          <w:rFonts w:hint="eastAsia" w:eastAsia="仿宋_GB2312"/>
          <w:color w:val="000000" w:themeColor="text1"/>
          <w:sz w:val="32"/>
          <w:szCs w:val="32"/>
        </w:rPr>
        <w:t>开设专业课程课堂教学内容和采用教学参考资料的意识形态的审查工作；</w:t>
      </w:r>
    </w:p>
    <w:p w14:paraId="1EED79A2">
      <w:pPr>
        <w:spacing w:line="560" w:lineRule="exact"/>
        <w:ind w:firstLine="640" w:firstLineChars="200"/>
        <w:rPr>
          <w:rFonts w:eastAsia="仿宋_GB2312"/>
          <w:color w:val="000000" w:themeColor="text1"/>
          <w:sz w:val="32"/>
          <w:szCs w:val="32"/>
        </w:rPr>
      </w:pPr>
      <w:r>
        <w:rPr>
          <w:rFonts w:hint="eastAsia" w:eastAsia="仿宋_GB2312"/>
          <w:color w:val="000000" w:themeColor="text1"/>
          <w:sz w:val="32"/>
          <w:szCs w:val="32"/>
        </w:rPr>
        <w:t>5.合作教学工作交流（包括与外方任课教师的合作交流以及与学生的沟通交流）使用的语言为英语；</w:t>
      </w:r>
    </w:p>
    <w:p w14:paraId="3143F57D">
      <w:pPr>
        <w:spacing w:line="560" w:lineRule="exact"/>
        <w:ind w:firstLine="640" w:firstLineChars="200"/>
        <w:rPr>
          <w:rFonts w:ascii="仿宋_GB2312" w:eastAsia="仿宋_GB2312"/>
          <w:color w:val="000000" w:themeColor="text1"/>
          <w:sz w:val="32"/>
          <w:szCs w:val="32"/>
        </w:rPr>
      </w:pPr>
      <w:r>
        <w:rPr>
          <w:rFonts w:hint="eastAsia" w:eastAsia="仿宋_GB2312"/>
          <w:color w:val="000000" w:themeColor="text1"/>
          <w:sz w:val="32"/>
          <w:szCs w:val="32"/>
        </w:rPr>
        <w:t>6</w:t>
      </w:r>
      <w:r>
        <w:rPr>
          <w:rFonts w:eastAsia="仿宋_GB2312"/>
          <w:color w:val="000000" w:themeColor="text1"/>
          <w:sz w:val="32"/>
          <w:szCs w:val="32"/>
        </w:rPr>
        <w:t>.</w:t>
      </w:r>
      <w:r>
        <w:rPr>
          <w:rFonts w:hint="eastAsia" w:ascii="仿宋_GB2312" w:eastAsia="仿宋_GB2312"/>
          <w:color w:val="000000" w:themeColor="text1"/>
          <w:sz w:val="32"/>
          <w:szCs w:val="32"/>
        </w:rPr>
        <w:t>完成巴瑟斯</w:t>
      </w:r>
      <w:r>
        <w:rPr>
          <w:rFonts w:hint="eastAsia" w:eastAsia="仿宋_GB2312"/>
          <w:color w:val="000000" w:themeColor="text1"/>
          <w:sz w:val="32"/>
          <w:szCs w:val="32"/>
        </w:rPr>
        <w:t>学院</w:t>
      </w:r>
      <w:r>
        <w:rPr>
          <w:rFonts w:hint="eastAsia" w:ascii="仿宋_GB2312" w:eastAsia="仿宋_GB2312"/>
          <w:color w:val="000000" w:themeColor="text1"/>
          <w:sz w:val="32"/>
          <w:szCs w:val="32"/>
        </w:rPr>
        <w:t>交给的监考等其他工作。</w:t>
      </w:r>
    </w:p>
    <w:p w14:paraId="0E4C03FA">
      <w:pPr>
        <w:spacing w:line="560" w:lineRule="exact"/>
        <w:ind w:firstLine="640" w:firstLineChars="200"/>
        <w:rPr>
          <w:rFonts w:ascii="Times New Roman" w:hAnsi="Times New Roman" w:eastAsia="方正小标宋简体" w:cs="Times New Roman"/>
          <w:sz w:val="32"/>
          <w:szCs w:val="32"/>
        </w:rPr>
      </w:pPr>
      <w:r>
        <w:rPr>
          <w:rFonts w:hint="eastAsia" w:ascii="黑体" w:hAnsi="黑体" w:eastAsia="黑体" w:cs="黑体"/>
          <w:sz w:val="32"/>
          <w:szCs w:val="32"/>
        </w:rPr>
        <w:t>五、合作教师的考核</w:t>
      </w:r>
    </w:p>
    <w:p w14:paraId="61408917">
      <w:pPr>
        <w:spacing w:line="560" w:lineRule="exact"/>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合作教师每学期考核一次。按照个人自评、学生评价、学院评价和实际参与合作课程教学学时数占比进行评价考核，考核结果分合格、基本合格、不合格三种。考核合格者，其参与合作课程教学学时数占比须在90%以上（含90%）；基本合格者，其参与合作课程教学学时数占比须在60-90%（含60%，不含90%）；不合格者，其参与合作课程教学学时数占比在60%以下（不含60%）。</w:t>
      </w:r>
    </w:p>
    <w:p w14:paraId="53665B43">
      <w:pPr>
        <w:spacing w:line="560" w:lineRule="exact"/>
        <w:ind w:firstLine="640" w:firstLineChars="200"/>
        <w:rPr>
          <w:rFonts w:ascii="Times New Roman" w:hAnsi="Times New Roman" w:eastAsia="方正小标宋简体" w:cs="Times New Roman"/>
          <w:sz w:val="32"/>
          <w:szCs w:val="32"/>
        </w:rPr>
      </w:pPr>
      <w:r>
        <w:rPr>
          <w:rFonts w:hint="eastAsia" w:ascii="黑体" w:hAnsi="黑体" w:eastAsia="黑体" w:cs="黑体"/>
          <w:sz w:val="32"/>
          <w:szCs w:val="32"/>
        </w:rPr>
        <w:t>六、合作教师的工作量计算</w:t>
      </w:r>
    </w:p>
    <w:p w14:paraId="3BF03117">
      <w:pPr>
        <w:spacing w:line="560" w:lineRule="exact"/>
        <w:ind w:firstLine="640" w:firstLineChars="200"/>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考核合格的，按照《青岛农业大学本专科教学标准课时数计算办法（试行）》中规定的课堂教学标准课时计算系数的</w:t>
      </w:r>
      <w:r>
        <w:rPr>
          <w:rFonts w:ascii="Times New Roman" w:hAnsi="Times New Roman" w:eastAsia="仿宋_GB2312" w:cs="Times New Roman"/>
          <w:color w:val="000000" w:themeColor="text1"/>
          <w:sz w:val="32"/>
          <w:szCs w:val="32"/>
        </w:rPr>
        <w:t>1.1</w:t>
      </w:r>
      <w:r>
        <w:rPr>
          <w:rFonts w:hint="eastAsia" w:ascii="Times New Roman" w:hAnsi="Times New Roman" w:eastAsia="仿宋_GB2312" w:cs="Times New Roman"/>
          <w:color w:val="000000" w:themeColor="text1"/>
          <w:sz w:val="32"/>
          <w:szCs w:val="32"/>
        </w:rPr>
        <w:t>倍计算其实际参与合作教学的标准课时，同步开设的重复课程不乘系数；考核基本合格的，按照《青岛农业大学本专科教学标准课时数计算办法（试行）》中规定的课堂教学标准课时计算系数的</w:t>
      </w:r>
      <w:r>
        <w:rPr>
          <w:rFonts w:ascii="Times New Roman" w:hAnsi="Times New Roman" w:eastAsia="仿宋_GB2312" w:cs="Times New Roman"/>
          <w:color w:val="000000" w:themeColor="text1"/>
          <w:sz w:val="32"/>
          <w:szCs w:val="32"/>
        </w:rPr>
        <w:t>0.7</w:t>
      </w:r>
      <w:r>
        <w:rPr>
          <w:rFonts w:hint="eastAsia" w:ascii="Times New Roman" w:hAnsi="Times New Roman" w:eastAsia="仿宋_GB2312" w:cs="Times New Roman"/>
          <w:color w:val="000000" w:themeColor="text1"/>
          <w:sz w:val="32"/>
          <w:szCs w:val="32"/>
        </w:rPr>
        <w:t>倍计算其实际参与合作教学的标准课时；考核不合格的，不予计算工作量。</w:t>
      </w:r>
    </w:p>
    <w:p w14:paraId="481C5DC7">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请各单位认真组织老师进行申请，并择优推荐。申请书纸质版（</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份）经所在单位审查合格，签署意见后，于202</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日前交至教学楼</w:t>
      </w:r>
      <w:r>
        <w:rPr>
          <w:rFonts w:hint="eastAsia" w:ascii="Times New Roman" w:hAnsi="Times New Roman" w:eastAsia="仿宋_GB2312" w:cs="Times New Roman"/>
          <w:sz w:val="32"/>
          <w:szCs w:val="32"/>
        </w:rPr>
        <w:t>G104</w:t>
      </w:r>
      <w:r>
        <w:rPr>
          <w:rFonts w:ascii="Times New Roman" w:hAnsi="Times New Roman" w:eastAsia="仿宋_GB2312" w:cs="Times New Roman"/>
          <w:sz w:val="32"/>
          <w:szCs w:val="32"/>
        </w:rPr>
        <w:t>巴瑟斯未来农业科技学院办公室，同时电子版发送至</w:t>
      </w:r>
      <w:r>
        <w:rPr>
          <w:rFonts w:hint="eastAsia" w:ascii="Times New Roman" w:hAnsi="Times New Roman" w:eastAsia="仿宋_GB2312" w:cs="Times New Roman"/>
          <w:sz w:val="32"/>
          <w:szCs w:val="32"/>
        </w:rPr>
        <w:t>Mengxue.Dong</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rau.ac.uk</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将</w:t>
      </w:r>
      <w:r>
        <w:rPr>
          <w:rFonts w:ascii="Times New Roman" w:hAnsi="Times New Roman" w:eastAsia="仿宋_GB2312" w:cs="Times New Roman"/>
          <w:sz w:val="32"/>
          <w:szCs w:val="32"/>
        </w:rPr>
        <w:t>根据报名情况确定合作教师。请申请报名的老师加入微信群</w:t>
      </w:r>
      <w:r>
        <w:rPr>
          <w:rFonts w:hint="eastAsia" w:ascii="Times New Roman" w:hAnsi="Times New Roman" w:eastAsia="仿宋_GB2312" w:cs="Times New Roman"/>
          <w:sz w:val="32"/>
          <w:szCs w:val="32"/>
        </w:rPr>
        <w:t>。</w:t>
      </w:r>
    </w:p>
    <w:p w14:paraId="6E44CEEF">
      <w:pPr>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drawing>
          <wp:inline distT="0" distB="0" distL="114300" distR="114300">
            <wp:extent cx="1899285" cy="2719705"/>
            <wp:effectExtent l="0" t="0" r="5715" b="4445"/>
            <wp:docPr id="1" name="图片 1" descr="18ed8915685ac9554995b72f9388e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8ed8915685ac9554995b72f9388e3e"/>
                    <pic:cNvPicPr>
                      <a:picLocks noChangeAspect="1"/>
                    </pic:cNvPicPr>
                  </pic:nvPicPr>
                  <pic:blipFill>
                    <a:blip r:embed="rId4"/>
                    <a:stretch>
                      <a:fillRect/>
                    </a:stretch>
                  </pic:blipFill>
                  <pic:spPr>
                    <a:xfrm>
                      <a:off x="0" y="0"/>
                      <a:ext cx="1899285" cy="2719705"/>
                    </a:xfrm>
                    <a:prstGeom prst="rect">
                      <a:avLst/>
                    </a:prstGeom>
                  </pic:spPr>
                </pic:pic>
              </a:graphicData>
            </a:graphic>
          </wp:inline>
        </w:drawing>
      </w:r>
    </w:p>
    <w:p w14:paraId="2831F744">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联系人：王继芳；电话：58957707</w:t>
      </w:r>
    </w:p>
    <w:p w14:paraId="2066FF9E">
      <w:pPr>
        <w:spacing w:line="560" w:lineRule="exact"/>
        <w:ind w:firstLine="1920" w:firstLineChars="6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陈</w:t>
      </w:r>
      <w:r>
        <w:rPr>
          <w:rFonts w:ascii="Times New Roman" w:hAnsi="Times New Roman" w:eastAsia="仿宋_GB2312" w:cs="Times New Roman"/>
          <w:sz w:val="32"/>
          <w:szCs w:val="32"/>
        </w:rPr>
        <w:t>海华；电话：5895770</w:t>
      </w:r>
      <w:r>
        <w:rPr>
          <w:rFonts w:hint="eastAsia" w:ascii="Times New Roman" w:hAnsi="Times New Roman" w:eastAsia="仿宋_GB2312" w:cs="Times New Roman"/>
          <w:sz w:val="32"/>
          <w:szCs w:val="32"/>
        </w:rPr>
        <w:t>6</w:t>
      </w:r>
    </w:p>
    <w:p w14:paraId="6980ABF0">
      <w:pPr>
        <w:spacing w:line="560" w:lineRule="exact"/>
        <w:ind w:firstLine="1920" w:firstLineChars="6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董梦雪；电话：58957704</w:t>
      </w:r>
    </w:p>
    <w:p w14:paraId="315DC27B">
      <w:pPr>
        <w:spacing w:line="660" w:lineRule="exact"/>
        <w:ind w:firstLine="640" w:firstLineChars="200"/>
        <w:rPr>
          <w:rFonts w:ascii="Times New Roman" w:hAnsi="Times New Roman" w:eastAsia="仿宋_GB2312" w:cs="Times New Roman"/>
          <w:sz w:val="32"/>
          <w:szCs w:val="32"/>
        </w:rPr>
      </w:pPr>
    </w:p>
    <w:p w14:paraId="7F5CDBF5">
      <w:pPr>
        <w:spacing w:line="6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巴瑟斯学院2024-2025-2英方核心课教学安排表</w:t>
      </w:r>
    </w:p>
    <w:p w14:paraId="5A5B31E9">
      <w:pPr>
        <w:ind w:firstLine="1600" w:firstLineChars="5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巴瑟斯未来农业科技学院合作教师申请表</w:t>
      </w:r>
    </w:p>
    <w:p w14:paraId="31553AB1">
      <w:pPr>
        <w:ind w:right="640"/>
        <w:rPr>
          <w:rFonts w:ascii="Times New Roman" w:hAnsi="Times New Roman" w:eastAsia="仿宋_GB2312" w:cs="Times New Roman"/>
          <w:sz w:val="32"/>
          <w:szCs w:val="32"/>
        </w:rPr>
      </w:pPr>
    </w:p>
    <w:p w14:paraId="78CDEB6E">
      <w:pPr>
        <w:wordWrap w:val="0"/>
        <w:ind w:firstLine="640" w:firstLineChars="200"/>
        <w:jc w:val="right"/>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巴瑟斯未来农业科技学院  教务处</w:t>
      </w:r>
      <w:bookmarkStart w:id="1" w:name="_GoBack"/>
      <w:bookmarkEnd w:id="1"/>
    </w:p>
    <w:p w14:paraId="10A5D0FA">
      <w:pPr>
        <w:ind w:firstLine="640" w:firstLineChars="200"/>
        <w:jc w:val="righ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2025年3</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日</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M2ODkwYzlmOTk1N2Q0MDgxZjYyYzM0ZmI2MmZmMjkifQ=="/>
  </w:docVars>
  <w:rsids>
    <w:rsidRoot w:val="004D111D"/>
    <w:rsid w:val="0003209A"/>
    <w:rsid w:val="000372C2"/>
    <w:rsid w:val="000400EC"/>
    <w:rsid w:val="00046A04"/>
    <w:rsid w:val="000822CF"/>
    <w:rsid w:val="000B507A"/>
    <w:rsid w:val="000C563B"/>
    <w:rsid w:val="00160FEB"/>
    <w:rsid w:val="0017532B"/>
    <w:rsid w:val="001F1482"/>
    <w:rsid w:val="001F3EAA"/>
    <w:rsid w:val="001F6AAD"/>
    <w:rsid w:val="002C75EB"/>
    <w:rsid w:val="002E0A69"/>
    <w:rsid w:val="00365A4D"/>
    <w:rsid w:val="003B7ACA"/>
    <w:rsid w:val="003C2881"/>
    <w:rsid w:val="004302B3"/>
    <w:rsid w:val="00452E92"/>
    <w:rsid w:val="004944E7"/>
    <w:rsid w:val="004D111D"/>
    <w:rsid w:val="005504EF"/>
    <w:rsid w:val="00571BE3"/>
    <w:rsid w:val="0059585A"/>
    <w:rsid w:val="005B4874"/>
    <w:rsid w:val="005C60CB"/>
    <w:rsid w:val="005D133B"/>
    <w:rsid w:val="005E0AB8"/>
    <w:rsid w:val="005F3638"/>
    <w:rsid w:val="006346D0"/>
    <w:rsid w:val="006E0C9E"/>
    <w:rsid w:val="006E0DEA"/>
    <w:rsid w:val="00700ACA"/>
    <w:rsid w:val="00704536"/>
    <w:rsid w:val="007466C8"/>
    <w:rsid w:val="00785B1F"/>
    <w:rsid w:val="00825608"/>
    <w:rsid w:val="00843D35"/>
    <w:rsid w:val="00856FAE"/>
    <w:rsid w:val="00870EDA"/>
    <w:rsid w:val="008961AA"/>
    <w:rsid w:val="008B0807"/>
    <w:rsid w:val="008B7B2F"/>
    <w:rsid w:val="009328D4"/>
    <w:rsid w:val="009A1D90"/>
    <w:rsid w:val="009A53A4"/>
    <w:rsid w:val="009B728A"/>
    <w:rsid w:val="009C0B33"/>
    <w:rsid w:val="009C23AA"/>
    <w:rsid w:val="009C2BCB"/>
    <w:rsid w:val="009C693E"/>
    <w:rsid w:val="00A3004A"/>
    <w:rsid w:val="00A650CA"/>
    <w:rsid w:val="00A67313"/>
    <w:rsid w:val="00A850A0"/>
    <w:rsid w:val="00AA75C2"/>
    <w:rsid w:val="00AB6CA7"/>
    <w:rsid w:val="00AC0196"/>
    <w:rsid w:val="00AD2A34"/>
    <w:rsid w:val="00AF46A0"/>
    <w:rsid w:val="00B52FBB"/>
    <w:rsid w:val="00B62EA7"/>
    <w:rsid w:val="00B6765A"/>
    <w:rsid w:val="00B73CB2"/>
    <w:rsid w:val="00B81572"/>
    <w:rsid w:val="00B92544"/>
    <w:rsid w:val="00BC1A64"/>
    <w:rsid w:val="00BF02B5"/>
    <w:rsid w:val="00C10393"/>
    <w:rsid w:val="00C154CF"/>
    <w:rsid w:val="00C27053"/>
    <w:rsid w:val="00C532CA"/>
    <w:rsid w:val="00C81D15"/>
    <w:rsid w:val="00C87CED"/>
    <w:rsid w:val="00C94B86"/>
    <w:rsid w:val="00CB675B"/>
    <w:rsid w:val="00CE6E73"/>
    <w:rsid w:val="00D0224C"/>
    <w:rsid w:val="00D02C24"/>
    <w:rsid w:val="00D36407"/>
    <w:rsid w:val="00D55354"/>
    <w:rsid w:val="00D62974"/>
    <w:rsid w:val="00D71040"/>
    <w:rsid w:val="00E3181B"/>
    <w:rsid w:val="00E475F9"/>
    <w:rsid w:val="00E71CC7"/>
    <w:rsid w:val="00E72C40"/>
    <w:rsid w:val="00EB1DFE"/>
    <w:rsid w:val="00ED5C0B"/>
    <w:rsid w:val="00F1025C"/>
    <w:rsid w:val="00F54D9B"/>
    <w:rsid w:val="00F67B76"/>
    <w:rsid w:val="00F86937"/>
    <w:rsid w:val="00F9221D"/>
    <w:rsid w:val="05194289"/>
    <w:rsid w:val="0AB216E5"/>
    <w:rsid w:val="0E8130D9"/>
    <w:rsid w:val="0EF56A7A"/>
    <w:rsid w:val="0FEA0F9C"/>
    <w:rsid w:val="175938CA"/>
    <w:rsid w:val="1D4A3AC5"/>
    <w:rsid w:val="1E9A47B4"/>
    <w:rsid w:val="1F7F1072"/>
    <w:rsid w:val="1FD23ABF"/>
    <w:rsid w:val="219F0AC7"/>
    <w:rsid w:val="24332A67"/>
    <w:rsid w:val="243B2DC2"/>
    <w:rsid w:val="289C138D"/>
    <w:rsid w:val="2CB47AC6"/>
    <w:rsid w:val="2F4A1629"/>
    <w:rsid w:val="2F5A4B99"/>
    <w:rsid w:val="312B6312"/>
    <w:rsid w:val="35024C9C"/>
    <w:rsid w:val="3594236C"/>
    <w:rsid w:val="364F11FC"/>
    <w:rsid w:val="37D16267"/>
    <w:rsid w:val="39AF66F2"/>
    <w:rsid w:val="3C355E58"/>
    <w:rsid w:val="3C7C66DD"/>
    <w:rsid w:val="3CF555AF"/>
    <w:rsid w:val="3D3E3B2C"/>
    <w:rsid w:val="41BD1ECA"/>
    <w:rsid w:val="436B1B4C"/>
    <w:rsid w:val="43B10C1B"/>
    <w:rsid w:val="44D81A76"/>
    <w:rsid w:val="47F70208"/>
    <w:rsid w:val="48733F90"/>
    <w:rsid w:val="4981092F"/>
    <w:rsid w:val="4C066EC9"/>
    <w:rsid w:val="4CFF4952"/>
    <w:rsid w:val="4D04165B"/>
    <w:rsid w:val="4D52421E"/>
    <w:rsid w:val="4FFF20C1"/>
    <w:rsid w:val="513038DB"/>
    <w:rsid w:val="526A0C1F"/>
    <w:rsid w:val="52E1256B"/>
    <w:rsid w:val="530B07F4"/>
    <w:rsid w:val="58FC69F1"/>
    <w:rsid w:val="59496859"/>
    <w:rsid w:val="5A5A0957"/>
    <w:rsid w:val="5BC621D1"/>
    <w:rsid w:val="5C7A5E1F"/>
    <w:rsid w:val="6082700E"/>
    <w:rsid w:val="6562261D"/>
    <w:rsid w:val="661B59A2"/>
    <w:rsid w:val="69934DBD"/>
    <w:rsid w:val="6F901743"/>
    <w:rsid w:val="783E4E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semiHidden/>
    <w:unhideWhenUsed/>
    <w:qFormat/>
    <w:uiPriority w:val="99"/>
    <w:pPr>
      <w:widowControl/>
      <w:jc w:val="left"/>
    </w:pPr>
    <w:rPr>
      <w:rFonts w:ascii="Times New Roman" w:hAnsi="Times New Roman" w:eastAsia="宋体" w:cs="Times New Roman"/>
      <w:kern w:val="0"/>
      <w:sz w:val="20"/>
      <w:szCs w:val="20"/>
    </w:rPr>
  </w:style>
  <w:style w:type="paragraph" w:styleId="3">
    <w:name w:val="Balloon Text"/>
    <w:basedOn w:val="1"/>
    <w:link w:val="11"/>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annotation reference"/>
    <w:basedOn w:val="8"/>
    <w:semiHidden/>
    <w:unhideWhenUsed/>
    <w:qFormat/>
    <w:uiPriority w:val="99"/>
    <w:rPr>
      <w:sz w:val="21"/>
      <w:szCs w:val="21"/>
    </w:rPr>
  </w:style>
  <w:style w:type="character" w:customStyle="1" w:styleId="10">
    <w:name w:val="批注文字 Char"/>
    <w:basedOn w:val="8"/>
    <w:link w:val="2"/>
    <w:semiHidden/>
    <w:qFormat/>
    <w:uiPriority w:val="99"/>
    <w:rPr>
      <w:rFonts w:ascii="Times New Roman" w:hAnsi="Times New Roman" w:eastAsia="宋体" w:cs="Times New Roman"/>
      <w:kern w:val="0"/>
      <w:sz w:val="20"/>
      <w:szCs w:val="20"/>
    </w:rPr>
  </w:style>
  <w:style w:type="character" w:customStyle="1" w:styleId="11">
    <w:name w:val="批注框文本 Char"/>
    <w:basedOn w:val="8"/>
    <w:link w:val="3"/>
    <w:semiHidden/>
    <w:qFormat/>
    <w:uiPriority w:val="99"/>
    <w:rPr>
      <w:sz w:val="18"/>
      <w:szCs w:val="18"/>
    </w:rPr>
  </w:style>
  <w:style w:type="character" w:customStyle="1" w:styleId="12">
    <w:name w:val="页眉 Char"/>
    <w:basedOn w:val="8"/>
    <w:link w:val="5"/>
    <w:qFormat/>
    <w:uiPriority w:val="99"/>
    <w:rPr>
      <w:sz w:val="18"/>
      <w:szCs w:val="18"/>
    </w:rPr>
  </w:style>
  <w:style w:type="character" w:customStyle="1" w:styleId="13">
    <w:name w:val="页脚 Char"/>
    <w:basedOn w:val="8"/>
    <w:link w:val="4"/>
    <w:qFormat/>
    <w:uiPriority w:val="99"/>
    <w:rPr>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4</Pages>
  <Words>1589</Words>
  <Characters>1710</Characters>
  <Lines>12</Lines>
  <Paragraphs>3</Paragraphs>
  <TotalTime>10</TotalTime>
  <ScaleCrop>false</ScaleCrop>
  <LinksUpToDate>false</LinksUpToDate>
  <CharactersWithSpaces>1710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2025-03-06T02:37:00Z</dcterms:created>
  <dc:creator>Lenovo</dc:creator>
  <cp:lastModifiedBy>Administrator</cp:lastModifiedBy>
  <dcterms:modified xsi:type="dcterms:W3CDTF">2025-03-06T02:55:40Z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5D99624FCC85465EBC9DF243301A59DF</vt:lpwstr>
  </property>
  <property fmtid="{D5CDD505-2E9C-101B-9397-08002B2CF9AE}" pid="4" name="KSOTemplateDocerSaveRecord">
    <vt:lpwstr>eyJoZGlkIjoiMDQ0ZDE5MTU0MDc3MDVlOWI4ZmU5NjE3NzkzZTE2ZDgifQ==</vt:lpwstr>
  </property>
</Properties>
</file>